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6F719" w14:textId="77777777" w:rsidR="008A332F" w:rsidRPr="009F6D2F" w:rsidRDefault="00B714A8" w:rsidP="002B50C0">
      <w:pPr>
        <w:pStyle w:val="Nagwek1"/>
        <w:spacing w:before="0" w:after="120" w:line="240" w:lineRule="auto"/>
        <w:jc w:val="center"/>
        <w:rPr>
          <w:rFonts w:ascii="Arial" w:hAnsi="Arial" w:cs="Arial"/>
          <w:b/>
          <w:color w:val="auto"/>
          <w:sz w:val="18"/>
          <w:szCs w:val="18"/>
        </w:rPr>
      </w:pPr>
      <w:bookmarkStart w:id="0" w:name="_GoBack"/>
      <w:bookmarkEnd w:id="0"/>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14:paraId="7C327A22" w14:textId="22E45E1D"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947567">
        <w:rPr>
          <w:rFonts w:ascii="Arial" w:hAnsi="Arial" w:cs="Arial"/>
          <w:b/>
          <w:color w:val="auto"/>
          <w:sz w:val="18"/>
          <w:szCs w:val="18"/>
        </w:rPr>
        <w:t>I</w:t>
      </w:r>
      <w:r w:rsidR="009F3C7F">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20</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14:paraId="508E5062"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845487" w14:textId="77777777"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AAB815A" w14:textId="77777777"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14:paraId="5CE6E37D"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EAE8EA6"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A36859" w14:textId="77777777"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14:paraId="268FFC7F"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B2255A"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D4FB998"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14:paraId="3481DA10"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D66CC6"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4917E390" w14:textId="77777777"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14:paraId="4CF971DF"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976DFA"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630BAD"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14:paraId="22C3CF6E"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Budżet środków europejskich: Program Operacyjny Polska Cyfrowa II oś priorytetowa E-administracja i otwarty rząd Działanie 2.2 „Cyfryzacja procesów back-office w administracji rządowej</w:t>
            </w:r>
            <w:r w:rsidR="00243E39">
              <w:rPr>
                <w:rFonts w:ascii="Arial" w:hAnsi="Arial" w:cs="Arial"/>
                <w:sz w:val="18"/>
                <w:szCs w:val="18"/>
              </w:rPr>
              <w:t>”</w:t>
            </w:r>
          </w:p>
        </w:tc>
      </w:tr>
      <w:tr w:rsidR="00CA516B" w:rsidRPr="009F6D2F" w14:paraId="29F60A26"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9259B9" w14:textId="77777777"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14:paraId="4188BC4A"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AC318F" w14:textId="77777777"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14:paraId="2E62F6C1"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EF02D6B" w14:textId="77777777"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3F0B4500" w14:textId="77777777"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14:paraId="200AD02D"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A11737" w14:textId="77777777"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14:paraId="30046F4D" w14:textId="77777777"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2E9A0A"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14:paraId="57D84CE5" w14:textId="63DEB8A9"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p>
        </w:tc>
      </w:tr>
    </w:tbl>
    <w:p w14:paraId="59E0FFCD" w14:textId="77777777" w:rsidR="00CA516B" w:rsidRPr="009F6D2F" w:rsidRDefault="004C1D48" w:rsidP="002B6F21">
      <w:pPr>
        <w:pStyle w:val="Nagwek2"/>
        <w:numPr>
          <w:ilvl w:val="0"/>
          <w:numId w:val="19"/>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14:paraId="27C230D1" w14:textId="77777777"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F2008A" w:rsidRPr="009F6D2F">
        <w:rPr>
          <w:rFonts w:ascii="Arial" w:hAnsi="Arial" w:cs="Arial"/>
          <w:sz w:val="18"/>
          <w:szCs w:val="18"/>
        </w:rPr>
        <w:tab/>
      </w:r>
      <w:r w:rsidR="00C43662" w:rsidRPr="009F6D2F">
        <w:rPr>
          <w:rFonts w:ascii="Arial" w:hAnsi="Arial" w:cs="Arial"/>
          <w:sz w:val="18"/>
          <w:szCs w:val="18"/>
        </w:rPr>
        <w:t>Projekt nie wymaga zmian legislacyjnych.</w:t>
      </w:r>
    </w:p>
    <w:p w14:paraId="5FD7977E" w14:textId="77777777" w:rsidR="003C7325" w:rsidRPr="00694AF5" w:rsidRDefault="00E35401" w:rsidP="00141A92">
      <w:pPr>
        <w:pStyle w:val="Nagwek2"/>
        <w:numPr>
          <w:ilvl w:val="0"/>
          <w:numId w:val="19"/>
        </w:numPr>
        <w:ind w:left="426" w:hanging="426"/>
        <w:rPr>
          <w:rFonts w:ascii="Arial" w:hAnsi="Arial" w:cs="Arial"/>
          <w:b/>
          <w:color w:val="auto"/>
          <w:sz w:val="18"/>
          <w:szCs w:val="18"/>
        </w:rPr>
      </w:pPr>
      <w:r w:rsidRPr="00694AF5">
        <w:rPr>
          <w:rFonts w:ascii="Arial" w:hAnsi="Arial" w:cs="Arial"/>
          <w:b/>
          <w:color w:val="auto"/>
          <w:sz w:val="18"/>
          <w:szCs w:val="18"/>
        </w:rPr>
        <w:t>Postęp</w:t>
      </w:r>
      <w:r w:rsidR="00F2008A" w:rsidRPr="00694AF5">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14:paraId="5FB661AE" w14:textId="77777777" w:rsidTr="00141A92">
        <w:trPr>
          <w:tblHeader/>
        </w:trPr>
        <w:tc>
          <w:tcPr>
            <w:tcW w:w="2972" w:type="dxa"/>
            <w:shd w:val="clear" w:color="auto" w:fill="D0CECE" w:themeFill="background2" w:themeFillShade="E6"/>
            <w:vAlign w:val="center"/>
          </w:tcPr>
          <w:p w14:paraId="6CDBA73E" w14:textId="77777777"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14:paraId="41ABF9FF"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14:paraId="7DA28ADE"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907F6D" w:rsidRPr="009F6D2F" w14:paraId="71991DC7" w14:textId="77777777" w:rsidTr="00795AFA">
        <w:tc>
          <w:tcPr>
            <w:tcW w:w="2972" w:type="dxa"/>
          </w:tcPr>
          <w:p w14:paraId="72CE33F0" w14:textId="6F05D805" w:rsidR="00907F6D" w:rsidRPr="0031628D" w:rsidRDefault="002278C5" w:rsidP="002278C5">
            <w:pPr>
              <w:tabs>
                <w:tab w:val="left" w:pos="915"/>
              </w:tabs>
              <w:spacing w:before="240"/>
              <w:rPr>
                <w:rFonts w:ascii="Arial" w:hAnsi="Arial" w:cs="Arial"/>
                <w:sz w:val="18"/>
                <w:szCs w:val="18"/>
              </w:rPr>
            </w:pPr>
            <w:r>
              <w:rPr>
                <w:rFonts w:ascii="Arial" w:hAnsi="Arial" w:cs="Arial"/>
                <w:sz w:val="18"/>
                <w:szCs w:val="18"/>
              </w:rPr>
              <w:tab/>
            </w:r>
            <w:r w:rsidR="000E54A5">
              <w:rPr>
                <w:rFonts w:ascii="Arial" w:hAnsi="Arial" w:cs="Arial"/>
                <w:sz w:val="18"/>
                <w:szCs w:val="18"/>
              </w:rPr>
              <w:t>4</w:t>
            </w:r>
            <w:r w:rsidR="00694AF5">
              <w:rPr>
                <w:rFonts w:ascii="Arial" w:hAnsi="Arial" w:cs="Arial"/>
                <w:sz w:val="18"/>
                <w:szCs w:val="18"/>
              </w:rPr>
              <w:t>6</w:t>
            </w:r>
            <w:r w:rsidR="000E54A5">
              <w:rPr>
                <w:rFonts w:ascii="Arial" w:hAnsi="Arial" w:cs="Arial"/>
                <w:sz w:val="18"/>
                <w:szCs w:val="18"/>
              </w:rPr>
              <w:t>,</w:t>
            </w:r>
            <w:r w:rsidR="00694AF5">
              <w:rPr>
                <w:rFonts w:ascii="Arial" w:hAnsi="Arial" w:cs="Arial"/>
                <w:sz w:val="18"/>
                <w:szCs w:val="18"/>
              </w:rPr>
              <w:t>15</w:t>
            </w:r>
            <w:r w:rsidRPr="002278C5">
              <w:rPr>
                <w:rFonts w:ascii="Arial" w:hAnsi="Arial" w:cs="Arial"/>
                <w:sz w:val="18"/>
                <w:szCs w:val="18"/>
              </w:rPr>
              <w:t>%</w:t>
            </w:r>
          </w:p>
        </w:tc>
        <w:tc>
          <w:tcPr>
            <w:tcW w:w="3260" w:type="dxa"/>
          </w:tcPr>
          <w:p w14:paraId="6BAB7552" w14:textId="35C146A0" w:rsidR="002278C5" w:rsidRPr="002278C5" w:rsidRDefault="0031628D" w:rsidP="002278C5">
            <w:pPr>
              <w:rPr>
                <w:rFonts w:ascii="Arial" w:hAnsi="Arial" w:cs="Arial"/>
                <w:sz w:val="18"/>
                <w:szCs w:val="18"/>
              </w:rPr>
            </w:pPr>
            <w:r w:rsidRPr="0031628D">
              <w:rPr>
                <w:rFonts w:ascii="Arial" w:hAnsi="Arial" w:cs="Arial"/>
                <w:sz w:val="18"/>
                <w:szCs w:val="18"/>
              </w:rPr>
              <w:t>1</w:t>
            </w:r>
            <w:r w:rsidR="002278C5" w:rsidRPr="002278C5">
              <w:rPr>
                <w:rFonts w:ascii="Arial" w:hAnsi="Arial" w:cs="Arial"/>
                <w:sz w:val="18"/>
                <w:szCs w:val="18"/>
              </w:rPr>
              <w:t xml:space="preserve">. </w:t>
            </w:r>
            <w:r w:rsidR="000E54A5">
              <w:rPr>
                <w:rFonts w:ascii="Arial" w:hAnsi="Arial" w:cs="Arial"/>
                <w:sz w:val="18"/>
                <w:szCs w:val="18"/>
              </w:rPr>
              <w:t>1</w:t>
            </w:r>
            <w:r w:rsidR="00694AF5">
              <w:rPr>
                <w:rFonts w:ascii="Arial" w:hAnsi="Arial" w:cs="Arial"/>
                <w:sz w:val="18"/>
                <w:szCs w:val="18"/>
              </w:rPr>
              <w:t>1</w:t>
            </w:r>
            <w:r w:rsidR="002278C5" w:rsidRPr="002278C5">
              <w:rPr>
                <w:rFonts w:ascii="Arial" w:hAnsi="Arial" w:cs="Arial"/>
                <w:sz w:val="18"/>
                <w:szCs w:val="18"/>
              </w:rPr>
              <w:t>,</w:t>
            </w:r>
            <w:r w:rsidR="00694AF5">
              <w:rPr>
                <w:rFonts w:ascii="Arial" w:hAnsi="Arial" w:cs="Arial"/>
                <w:sz w:val="18"/>
                <w:szCs w:val="18"/>
              </w:rPr>
              <w:t>37</w:t>
            </w:r>
            <w:r w:rsidR="002278C5" w:rsidRPr="002278C5">
              <w:rPr>
                <w:rFonts w:ascii="Arial" w:hAnsi="Arial" w:cs="Arial"/>
                <w:sz w:val="18"/>
                <w:szCs w:val="18"/>
              </w:rPr>
              <w:t xml:space="preserve"> %</w:t>
            </w:r>
          </w:p>
          <w:p w14:paraId="2BC0C3CD" w14:textId="77777777" w:rsidR="002278C5" w:rsidRPr="002278C5" w:rsidRDefault="002278C5" w:rsidP="002278C5">
            <w:pPr>
              <w:rPr>
                <w:rFonts w:ascii="Arial" w:hAnsi="Arial" w:cs="Arial"/>
                <w:sz w:val="18"/>
                <w:szCs w:val="18"/>
              </w:rPr>
            </w:pPr>
          </w:p>
          <w:p w14:paraId="1D245070" w14:textId="1A069DE6" w:rsidR="002278C5" w:rsidRPr="002278C5" w:rsidRDefault="002278C5" w:rsidP="002278C5">
            <w:pPr>
              <w:rPr>
                <w:rFonts w:ascii="Arial" w:hAnsi="Arial" w:cs="Arial"/>
                <w:sz w:val="18"/>
                <w:szCs w:val="18"/>
              </w:rPr>
            </w:pPr>
            <w:r w:rsidRPr="002278C5">
              <w:rPr>
                <w:rFonts w:ascii="Arial" w:hAnsi="Arial" w:cs="Arial"/>
                <w:sz w:val="18"/>
                <w:szCs w:val="18"/>
              </w:rPr>
              <w:t xml:space="preserve">2. </w:t>
            </w:r>
            <w:r w:rsidR="00694AF5">
              <w:rPr>
                <w:rFonts w:ascii="Arial" w:hAnsi="Arial" w:cs="Arial"/>
                <w:sz w:val="18"/>
                <w:szCs w:val="18"/>
              </w:rPr>
              <w:t>10</w:t>
            </w:r>
            <w:r w:rsidRPr="002278C5">
              <w:rPr>
                <w:rFonts w:ascii="Arial" w:hAnsi="Arial" w:cs="Arial"/>
                <w:sz w:val="18"/>
                <w:szCs w:val="18"/>
              </w:rPr>
              <w:t>,</w:t>
            </w:r>
            <w:r w:rsidR="00694AF5">
              <w:rPr>
                <w:rFonts w:ascii="Arial" w:hAnsi="Arial" w:cs="Arial"/>
                <w:sz w:val="18"/>
                <w:szCs w:val="18"/>
              </w:rPr>
              <w:t>42</w:t>
            </w:r>
            <w:r w:rsidRPr="002278C5">
              <w:rPr>
                <w:rFonts w:ascii="Arial" w:hAnsi="Arial" w:cs="Arial"/>
                <w:sz w:val="18"/>
                <w:szCs w:val="18"/>
              </w:rPr>
              <w:t>%</w:t>
            </w:r>
          </w:p>
          <w:p w14:paraId="152E9EAC" w14:textId="77777777" w:rsidR="002278C5" w:rsidRPr="002278C5" w:rsidRDefault="002278C5" w:rsidP="002278C5">
            <w:pPr>
              <w:rPr>
                <w:rFonts w:ascii="Arial" w:hAnsi="Arial" w:cs="Arial"/>
                <w:sz w:val="18"/>
                <w:szCs w:val="18"/>
              </w:rPr>
            </w:pPr>
          </w:p>
          <w:p w14:paraId="3889F8FD" w14:textId="77777777" w:rsidR="002278C5" w:rsidRPr="002278C5" w:rsidRDefault="002278C5" w:rsidP="002278C5">
            <w:pPr>
              <w:rPr>
                <w:rFonts w:ascii="Arial" w:hAnsi="Arial" w:cs="Arial"/>
                <w:sz w:val="18"/>
                <w:szCs w:val="18"/>
              </w:rPr>
            </w:pPr>
            <w:r w:rsidRPr="002278C5">
              <w:rPr>
                <w:rFonts w:ascii="Arial" w:hAnsi="Arial" w:cs="Arial"/>
                <w:sz w:val="18"/>
                <w:szCs w:val="18"/>
              </w:rPr>
              <w:t>3. Nie dotyczy</w:t>
            </w:r>
          </w:p>
          <w:p w14:paraId="2021C6D9" w14:textId="77777777" w:rsidR="002278C5" w:rsidRPr="0031628D" w:rsidRDefault="002278C5" w:rsidP="002278C5">
            <w:pPr>
              <w:rPr>
                <w:rFonts w:ascii="Arial" w:hAnsi="Arial" w:cs="Arial"/>
                <w:sz w:val="18"/>
                <w:szCs w:val="18"/>
              </w:rPr>
            </w:pPr>
          </w:p>
          <w:p w14:paraId="4AD62A81" w14:textId="77777777" w:rsidR="00140757" w:rsidRPr="0031628D" w:rsidRDefault="00140757" w:rsidP="0031628D">
            <w:pPr>
              <w:rPr>
                <w:rFonts w:ascii="Arial" w:hAnsi="Arial" w:cs="Arial"/>
                <w:sz w:val="18"/>
                <w:szCs w:val="18"/>
              </w:rPr>
            </w:pPr>
          </w:p>
        </w:tc>
        <w:tc>
          <w:tcPr>
            <w:tcW w:w="3402" w:type="dxa"/>
          </w:tcPr>
          <w:p w14:paraId="15296F22" w14:textId="71AF716D" w:rsidR="00907F6D" w:rsidRPr="0031628D" w:rsidRDefault="002278C5" w:rsidP="00694AF5">
            <w:pPr>
              <w:tabs>
                <w:tab w:val="left" w:pos="855"/>
              </w:tabs>
              <w:spacing w:before="240"/>
              <w:rPr>
                <w:rFonts w:ascii="Arial" w:hAnsi="Arial" w:cs="Arial"/>
                <w:sz w:val="18"/>
                <w:szCs w:val="18"/>
              </w:rPr>
            </w:pPr>
            <w:r>
              <w:rPr>
                <w:rFonts w:ascii="Arial" w:hAnsi="Arial" w:cs="Arial"/>
                <w:sz w:val="18"/>
                <w:szCs w:val="18"/>
              </w:rPr>
              <w:tab/>
            </w:r>
            <w:r w:rsidR="00694AF5">
              <w:rPr>
                <w:rFonts w:ascii="Arial" w:hAnsi="Arial" w:cs="Arial"/>
                <w:sz w:val="18"/>
                <w:szCs w:val="18"/>
              </w:rPr>
              <w:t>31</w:t>
            </w:r>
            <w:r w:rsidR="000E54A5">
              <w:rPr>
                <w:rFonts w:ascii="Arial" w:hAnsi="Arial" w:cs="Arial"/>
                <w:sz w:val="18"/>
                <w:szCs w:val="18"/>
              </w:rPr>
              <w:t>,</w:t>
            </w:r>
            <w:r w:rsidR="00694AF5">
              <w:rPr>
                <w:rFonts w:ascii="Arial" w:hAnsi="Arial" w:cs="Arial"/>
                <w:sz w:val="18"/>
                <w:szCs w:val="18"/>
              </w:rPr>
              <w:t>51</w:t>
            </w:r>
            <w:r w:rsidRPr="002278C5">
              <w:rPr>
                <w:rFonts w:ascii="Arial" w:hAnsi="Arial" w:cs="Arial"/>
                <w:sz w:val="18"/>
                <w:szCs w:val="18"/>
              </w:rPr>
              <w:t>%</w:t>
            </w:r>
          </w:p>
        </w:tc>
      </w:tr>
    </w:tbl>
    <w:p w14:paraId="1A183E80" w14:textId="77777777" w:rsidR="00E42938" w:rsidRPr="009F6D2F"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14:paraId="2F227ADC" w14:textId="77777777" w:rsidR="00CF2E64" w:rsidRPr="009F6D2F" w:rsidRDefault="00CF2E64" w:rsidP="00141A92">
      <w:pPr>
        <w:spacing w:after="120" w:line="240" w:lineRule="auto"/>
        <w:rPr>
          <w:rFonts w:ascii="Arial" w:hAnsi="Arial" w:cs="Arial"/>
          <w:b/>
          <w:sz w:val="18"/>
          <w:szCs w:val="18"/>
        </w:rPr>
      </w:pPr>
      <w:r w:rsidRPr="00EB5A7C">
        <w:rPr>
          <w:rFonts w:ascii="Arial" w:hAnsi="Arial" w:cs="Arial"/>
          <w:b/>
          <w:sz w:val="18"/>
          <w:szCs w:val="18"/>
        </w:rPr>
        <w:t>Kamienie milowe</w:t>
      </w:r>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14:paraId="1FF97696" w14:textId="77777777" w:rsidTr="00BF395F">
        <w:trPr>
          <w:tblHeader/>
        </w:trPr>
        <w:tc>
          <w:tcPr>
            <w:tcW w:w="2646" w:type="dxa"/>
            <w:shd w:val="clear" w:color="auto" w:fill="D0CECE" w:themeFill="background2" w:themeFillShade="E6"/>
            <w:vAlign w:val="center"/>
          </w:tcPr>
          <w:p w14:paraId="58D012E7" w14:textId="77777777" w:rsidR="004350B8" w:rsidRPr="009F6D2F" w:rsidRDefault="00F76777" w:rsidP="00BF395F">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171FE9C"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owiązane wskaźniki </w:t>
            </w:r>
            <w:r w:rsidR="00BF395F">
              <w:rPr>
                <w:rFonts w:ascii="Arial" w:hAnsi="Arial" w:cs="Arial"/>
                <w:b/>
                <w:sz w:val="18"/>
                <w:szCs w:val="18"/>
              </w:rPr>
              <w:br/>
            </w:r>
            <w:r w:rsidR="004350B8" w:rsidRPr="009F6D2F">
              <w:rPr>
                <w:rFonts w:ascii="Arial" w:hAnsi="Arial" w:cs="Arial"/>
                <w:b/>
                <w:sz w:val="18"/>
                <w:szCs w:val="18"/>
              </w:rPr>
              <w:t xml:space="preserve">projektu </w:t>
            </w:r>
            <w:r w:rsidR="004350B8" w:rsidRPr="009F6D2F">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14:paraId="4D418694"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14:paraId="65D4C8C9"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R</w:t>
            </w:r>
            <w:r w:rsidR="004350B8" w:rsidRPr="009F6D2F">
              <w:rPr>
                <w:rFonts w:ascii="Arial" w:hAnsi="Arial" w:cs="Arial"/>
                <w:b/>
                <w:sz w:val="18"/>
                <w:szCs w:val="18"/>
              </w:rPr>
              <w:t xml:space="preserve">zeczywisty termin </w:t>
            </w:r>
            <w:r w:rsidR="00BF395F">
              <w:rPr>
                <w:rFonts w:ascii="Arial" w:hAnsi="Arial" w:cs="Arial"/>
                <w:b/>
                <w:sz w:val="18"/>
                <w:szCs w:val="18"/>
              </w:rPr>
              <w:br/>
            </w:r>
            <w:r w:rsidR="004350B8" w:rsidRPr="009F6D2F">
              <w:rPr>
                <w:rFonts w:ascii="Arial" w:hAnsi="Arial" w:cs="Arial"/>
                <w:b/>
                <w:sz w:val="18"/>
                <w:szCs w:val="18"/>
              </w:rPr>
              <w:t>osiągnięcia</w:t>
            </w:r>
          </w:p>
        </w:tc>
        <w:tc>
          <w:tcPr>
            <w:tcW w:w="2566" w:type="dxa"/>
            <w:shd w:val="clear" w:color="auto" w:fill="D0CECE" w:themeFill="background2" w:themeFillShade="E6"/>
            <w:vAlign w:val="center"/>
          </w:tcPr>
          <w:p w14:paraId="2F27ABE0"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S</w:t>
            </w:r>
            <w:r w:rsidR="004350B8" w:rsidRPr="009F6D2F">
              <w:rPr>
                <w:rFonts w:ascii="Arial" w:hAnsi="Arial" w:cs="Arial"/>
                <w:b/>
                <w:sz w:val="18"/>
                <w:szCs w:val="18"/>
              </w:rPr>
              <w:t>tatus realizacji kamienia milowego</w:t>
            </w:r>
          </w:p>
        </w:tc>
      </w:tr>
      <w:tr w:rsidR="002F1336" w:rsidRPr="009F6D2F" w14:paraId="442B9E4F" w14:textId="77777777" w:rsidTr="00BF395F">
        <w:tc>
          <w:tcPr>
            <w:tcW w:w="2646" w:type="dxa"/>
            <w:vAlign w:val="center"/>
          </w:tcPr>
          <w:p w14:paraId="40471389" w14:textId="77777777"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01C54DB5" w14:textId="77777777" w:rsidR="002F1336" w:rsidRPr="00547C54" w:rsidRDefault="002F1336" w:rsidP="00BF395F">
            <w:pPr>
              <w:rPr>
                <w:rFonts w:ascii="Arial" w:hAnsi="Arial" w:cs="Arial"/>
                <w:sz w:val="18"/>
                <w:szCs w:val="18"/>
              </w:rPr>
            </w:pPr>
          </w:p>
        </w:tc>
        <w:tc>
          <w:tcPr>
            <w:tcW w:w="1275" w:type="dxa"/>
            <w:vAlign w:val="center"/>
          </w:tcPr>
          <w:p w14:paraId="0942D18E" w14:textId="77777777"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14:paraId="636DDBEC" w14:textId="77777777"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14:paraId="089AEB6F" w14:textId="77777777" w:rsidR="00DD7BC6" w:rsidRPr="00DD7BC6" w:rsidRDefault="00DD7BC6" w:rsidP="00BF395F">
            <w:pPr>
              <w:jc w:val="center"/>
              <w:rPr>
                <w:rFonts w:ascii="Arial" w:hAnsi="Arial" w:cs="Arial"/>
                <w:color w:val="000000" w:themeColor="text1"/>
                <w:sz w:val="18"/>
                <w:szCs w:val="18"/>
              </w:rPr>
            </w:pPr>
            <w:r>
              <w:rPr>
                <w:rFonts w:ascii="Arial" w:hAnsi="Arial" w:cs="Arial"/>
                <w:color w:val="000000" w:themeColor="text1"/>
                <w:sz w:val="18"/>
                <w:szCs w:val="18"/>
              </w:rPr>
              <w:t>z</w:t>
            </w:r>
            <w:r w:rsidRPr="00DD7BC6">
              <w:rPr>
                <w:rFonts w:ascii="Arial" w:hAnsi="Arial" w:cs="Arial"/>
                <w:color w:val="000000" w:themeColor="text1"/>
                <w:sz w:val="18"/>
                <w:szCs w:val="18"/>
              </w:rPr>
              <w:t>realizowan</w:t>
            </w:r>
            <w:r>
              <w:rPr>
                <w:rFonts w:ascii="Arial" w:hAnsi="Arial" w:cs="Arial"/>
                <w:color w:val="000000" w:themeColor="text1"/>
                <w:sz w:val="18"/>
                <w:szCs w:val="18"/>
              </w:rPr>
              <w:t>y</w:t>
            </w:r>
          </w:p>
          <w:p w14:paraId="3A46AB6F" w14:textId="77777777" w:rsidR="002D105C" w:rsidRPr="002D105C" w:rsidRDefault="00DD7BC6" w:rsidP="00BF395F">
            <w:pPr>
              <w:jc w:val="cente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00733733" w:rsidRPr="009F6D2F" w14:paraId="0860D5D7" w14:textId="77777777" w:rsidTr="00BF395F">
        <w:tc>
          <w:tcPr>
            <w:tcW w:w="2646" w:type="dxa"/>
          </w:tcPr>
          <w:p w14:paraId="5865267F" w14:textId="77777777" w:rsidR="00733733" w:rsidRPr="009F6D2F" w:rsidRDefault="00733733" w:rsidP="00733733">
            <w:pPr>
              <w:rPr>
                <w:rFonts w:ascii="Arial" w:hAnsi="Arial" w:cs="Arial"/>
                <w:color w:val="0070C0"/>
                <w:sz w:val="18"/>
                <w:szCs w:val="18"/>
              </w:rPr>
            </w:pPr>
            <w:r w:rsidRPr="009F6D2F">
              <w:rPr>
                <w:rFonts w:ascii="Arial" w:hAnsi="Arial" w:cs="Arial"/>
                <w:sz w:val="18"/>
                <w:szCs w:val="18"/>
              </w:rPr>
              <w:t>Opracowanie założeń do Systemu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B82C242" w14:textId="11A97572" w:rsidR="00733733" w:rsidRPr="00A81F0F" w:rsidRDefault="00733733" w:rsidP="00A81F0F">
            <w:pPr>
              <w:rPr>
                <w:rFonts w:ascii="Arial" w:hAnsi="Arial" w:cs="Arial"/>
                <w:sz w:val="18"/>
                <w:szCs w:val="18"/>
              </w:rPr>
            </w:pPr>
          </w:p>
        </w:tc>
        <w:tc>
          <w:tcPr>
            <w:tcW w:w="1275" w:type="dxa"/>
            <w:vAlign w:val="center"/>
          </w:tcPr>
          <w:p w14:paraId="22633BF0" w14:textId="173FB404" w:rsidR="00733733" w:rsidRPr="009F6D2F" w:rsidRDefault="00266204" w:rsidP="00BF395F">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00733733" w:rsidRPr="009F6D2F">
              <w:rPr>
                <w:rFonts w:ascii="Arial" w:hAnsi="Arial" w:cs="Arial"/>
                <w:sz w:val="18"/>
                <w:szCs w:val="18"/>
              </w:rPr>
              <w:t>2020</w:t>
            </w:r>
          </w:p>
        </w:tc>
        <w:tc>
          <w:tcPr>
            <w:tcW w:w="1403" w:type="dxa"/>
            <w:vAlign w:val="center"/>
          </w:tcPr>
          <w:p w14:paraId="53FF377C" w14:textId="77777777"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14:paraId="01006CF6" w14:textId="77777777"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14:paraId="5B19BF0D" w14:textId="77777777" w:rsidTr="00A81F0F">
        <w:tc>
          <w:tcPr>
            <w:tcW w:w="2646" w:type="dxa"/>
          </w:tcPr>
          <w:p w14:paraId="05F83CA0"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1F3A88DA" w14:textId="65EE9938" w:rsidR="00A81F0F" w:rsidRPr="00266204" w:rsidRDefault="00A81F0F" w:rsidP="00BF395F">
            <w:pPr>
              <w:rPr>
                <w:rFonts w:ascii="Arial" w:hAnsi="Arial" w:cs="Arial"/>
                <w:sz w:val="18"/>
                <w:szCs w:val="18"/>
                <w:highlight w:val="yellow"/>
              </w:rPr>
            </w:pPr>
          </w:p>
        </w:tc>
        <w:tc>
          <w:tcPr>
            <w:tcW w:w="1275" w:type="dxa"/>
            <w:vAlign w:val="center"/>
          </w:tcPr>
          <w:p w14:paraId="23A0D04D" w14:textId="5EC419BE" w:rsidR="00733733" w:rsidRPr="009F6D2F" w:rsidRDefault="00266204" w:rsidP="00BF395F">
            <w:pPr>
              <w:rPr>
                <w:rFonts w:ascii="Arial" w:hAnsi="Arial" w:cs="Arial"/>
                <w:color w:val="0070C0"/>
                <w:sz w:val="18"/>
                <w:szCs w:val="18"/>
                <w:lang w:eastAsia="pl-PL"/>
              </w:rPr>
            </w:pPr>
            <w:r>
              <w:rPr>
                <w:rFonts w:ascii="Arial" w:hAnsi="Arial" w:cs="Arial"/>
                <w:sz w:val="18"/>
                <w:szCs w:val="18"/>
              </w:rPr>
              <w:t>12</w:t>
            </w:r>
            <w:r w:rsidR="009A1885" w:rsidRPr="009A1885">
              <w:rPr>
                <w:rFonts w:ascii="Arial" w:hAnsi="Arial" w:cs="Arial"/>
                <w:sz w:val="18"/>
                <w:szCs w:val="18"/>
              </w:rPr>
              <w:t xml:space="preserve"> – 2020</w:t>
            </w:r>
          </w:p>
        </w:tc>
        <w:tc>
          <w:tcPr>
            <w:tcW w:w="1403" w:type="dxa"/>
            <w:shd w:val="clear" w:color="auto" w:fill="auto"/>
            <w:vAlign w:val="center"/>
          </w:tcPr>
          <w:p w14:paraId="6B63E589"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269ACDE" w14:textId="77777777" w:rsidR="00733733" w:rsidRPr="00266204" w:rsidRDefault="00733733" w:rsidP="00BF395F">
            <w:pPr>
              <w:jc w:val="center"/>
              <w:rPr>
                <w:rFonts w:ascii="Arial" w:hAnsi="Arial" w:cs="Arial"/>
                <w:color w:val="0070C0"/>
                <w:sz w:val="18"/>
                <w:szCs w:val="18"/>
                <w:highlight w:val="yellow"/>
              </w:rPr>
            </w:pPr>
            <w:r w:rsidRPr="00A81F0F">
              <w:rPr>
                <w:rFonts w:ascii="Arial" w:hAnsi="Arial" w:cs="Arial"/>
                <w:sz w:val="18"/>
                <w:szCs w:val="18"/>
              </w:rPr>
              <w:t>planowany</w:t>
            </w:r>
          </w:p>
        </w:tc>
      </w:tr>
      <w:tr w:rsidR="00733733" w:rsidRPr="009F6D2F" w14:paraId="25BE3CBC" w14:textId="77777777" w:rsidTr="00A81F0F">
        <w:tc>
          <w:tcPr>
            <w:tcW w:w="2646" w:type="dxa"/>
          </w:tcPr>
          <w:p w14:paraId="05C3400D"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416C4C31" w14:textId="77777777" w:rsidR="0073373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2E7CDC89" w14:textId="15572093" w:rsidR="00A81F0F" w:rsidRPr="00266204" w:rsidRDefault="00A81F0F" w:rsidP="00A81F0F">
            <w:pPr>
              <w:rPr>
                <w:rFonts w:ascii="Arial" w:hAnsi="Arial" w:cs="Arial"/>
                <w:sz w:val="18"/>
                <w:szCs w:val="18"/>
                <w:highlight w:val="yellow"/>
              </w:rPr>
            </w:pPr>
          </w:p>
        </w:tc>
        <w:tc>
          <w:tcPr>
            <w:tcW w:w="1275" w:type="dxa"/>
            <w:vAlign w:val="center"/>
          </w:tcPr>
          <w:p w14:paraId="072534E3" w14:textId="7F5D44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396A9606"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490A2870" w14:textId="77777777" w:rsidR="00733733" w:rsidRPr="00266204" w:rsidRDefault="00733733" w:rsidP="00BF395F">
            <w:pPr>
              <w:jc w:val="center"/>
              <w:rPr>
                <w:rFonts w:ascii="Arial" w:hAnsi="Arial" w:cs="Arial"/>
                <w:color w:val="0070C0"/>
                <w:sz w:val="18"/>
                <w:szCs w:val="18"/>
                <w:highlight w:val="yellow"/>
              </w:rPr>
            </w:pPr>
            <w:r w:rsidRPr="00A81F0F">
              <w:rPr>
                <w:rFonts w:ascii="Arial" w:hAnsi="Arial" w:cs="Arial"/>
                <w:sz w:val="18"/>
                <w:szCs w:val="18"/>
              </w:rPr>
              <w:t>planowany</w:t>
            </w:r>
          </w:p>
        </w:tc>
      </w:tr>
      <w:tr w:rsidR="00733733" w:rsidRPr="009F6D2F" w14:paraId="5EC84509" w14:textId="77777777" w:rsidTr="00D93F9C">
        <w:tc>
          <w:tcPr>
            <w:tcW w:w="2646" w:type="dxa"/>
          </w:tcPr>
          <w:p w14:paraId="0E2CCF4B"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42C6E752" w14:textId="77777777" w:rsidR="00733733" w:rsidRDefault="007F76B3" w:rsidP="00BF395F">
            <w:pPr>
              <w:rPr>
                <w:rFonts w:ascii="Arial" w:hAnsi="Arial" w:cs="Arial"/>
                <w:sz w:val="18"/>
                <w:szCs w:val="18"/>
                <w:highlight w:val="yellow"/>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68191F4D" w14:textId="271113B6" w:rsidR="00D93F9C"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26D2A983" w14:textId="5C299FC3"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7ABDC693"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5D77FA40" w14:textId="77777777" w:rsidR="00733733" w:rsidRPr="00266204" w:rsidRDefault="00733733" w:rsidP="00BF395F">
            <w:pPr>
              <w:jc w:val="center"/>
              <w:rPr>
                <w:rFonts w:ascii="Arial" w:hAnsi="Arial" w:cs="Arial"/>
                <w:color w:val="0070C0"/>
                <w:sz w:val="18"/>
                <w:szCs w:val="18"/>
                <w:highlight w:val="yellow"/>
              </w:rPr>
            </w:pPr>
            <w:r w:rsidRPr="00D93F9C">
              <w:rPr>
                <w:rFonts w:ascii="Arial" w:hAnsi="Arial" w:cs="Arial"/>
                <w:sz w:val="18"/>
                <w:szCs w:val="18"/>
              </w:rPr>
              <w:t>planowany</w:t>
            </w:r>
          </w:p>
        </w:tc>
      </w:tr>
      <w:tr w:rsidR="00733733" w:rsidRPr="009F6D2F" w14:paraId="4729575E" w14:textId="77777777" w:rsidTr="00D93F9C">
        <w:tc>
          <w:tcPr>
            <w:tcW w:w="2646" w:type="dxa"/>
          </w:tcPr>
          <w:p w14:paraId="440D57AA"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4EE8F617" w14:textId="77777777" w:rsidR="007F76B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5A35A852" w14:textId="3CDA203F" w:rsidR="00733733"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57873511" w14:textId="41479D53"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14:paraId="790BC0DD"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52F2C982" w14:textId="77777777" w:rsidR="00733733" w:rsidRPr="00D93F9C" w:rsidRDefault="00733733" w:rsidP="00BF395F">
            <w:pPr>
              <w:jc w:val="center"/>
              <w:rPr>
                <w:rFonts w:ascii="Arial" w:hAnsi="Arial" w:cs="Arial"/>
                <w:color w:val="0070C0"/>
                <w:sz w:val="18"/>
                <w:szCs w:val="18"/>
              </w:rPr>
            </w:pPr>
            <w:r w:rsidRPr="00D93F9C">
              <w:rPr>
                <w:rFonts w:ascii="Arial" w:hAnsi="Arial" w:cs="Arial"/>
                <w:sz w:val="18"/>
                <w:szCs w:val="18"/>
              </w:rPr>
              <w:t>planowany</w:t>
            </w:r>
          </w:p>
        </w:tc>
      </w:tr>
      <w:tr w:rsidR="00733733" w:rsidRPr="009F6D2F" w14:paraId="3FF49E58" w14:textId="77777777" w:rsidTr="00C20ED2">
        <w:tc>
          <w:tcPr>
            <w:tcW w:w="2646" w:type="dxa"/>
            <w:vAlign w:val="center"/>
          </w:tcPr>
          <w:p w14:paraId="18099482" w14:textId="77777777" w:rsidR="00733733" w:rsidRPr="00266204" w:rsidRDefault="00733733" w:rsidP="00BF395F">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32D680F"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4292ED28" w14:textId="4D3DDBAE" w:rsidR="00C20ED2" w:rsidRPr="00266204" w:rsidRDefault="00C20ED2" w:rsidP="00C20ED2">
            <w:pPr>
              <w:rPr>
                <w:rFonts w:ascii="Arial" w:hAnsi="Arial" w:cs="Arial"/>
                <w:sz w:val="18"/>
                <w:szCs w:val="18"/>
                <w:highlight w:val="yellow"/>
              </w:rPr>
            </w:pPr>
          </w:p>
        </w:tc>
        <w:tc>
          <w:tcPr>
            <w:tcW w:w="1275" w:type="dxa"/>
            <w:vAlign w:val="center"/>
          </w:tcPr>
          <w:p w14:paraId="19A0FEA3" w14:textId="15B531DF"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2021</w:t>
            </w:r>
          </w:p>
        </w:tc>
        <w:tc>
          <w:tcPr>
            <w:tcW w:w="1403" w:type="dxa"/>
            <w:shd w:val="clear" w:color="auto" w:fill="auto"/>
            <w:vAlign w:val="center"/>
          </w:tcPr>
          <w:p w14:paraId="5055644B"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6F56A1C" w14:textId="77777777" w:rsidR="00733733" w:rsidRPr="00266204" w:rsidRDefault="00733733" w:rsidP="00BF395F">
            <w:pPr>
              <w:jc w:val="center"/>
              <w:rPr>
                <w:rFonts w:ascii="Arial" w:hAnsi="Arial" w:cs="Arial"/>
                <w:color w:val="0070C0"/>
                <w:sz w:val="18"/>
                <w:szCs w:val="18"/>
                <w:highlight w:val="yellow"/>
              </w:rPr>
            </w:pPr>
            <w:r w:rsidRPr="00C20ED2">
              <w:rPr>
                <w:rFonts w:ascii="Arial" w:hAnsi="Arial" w:cs="Arial"/>
                <w:sz w:val="18"/>
                <w:szCs w:val="18"/>
              </w:rPr>
              <w:t>planowany</w:t>
            </w:r>
          </w:p>
        </w:tc>
      </w:tr>
      <w:tr w:rsidR="00733733" w:rsidRPr="009F6D2F" w14:paraId="61B83B31" w14:textId="77777777" w:rsidTr="00C40B62">
        <w:tc>
          <w:tcPr>
            <w:tcW w:w="2646" w:type="dxa"/>
          </w:tcPr>
          <w:p w14:paraId="266B7EA5"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1AE3DDFD"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04E65045" w14:textId="6D9D7928" w:rsidR="00C40B62" w:rsidRPr="00266204" w:rsidRDefault="00C40B62" w:rsidP="00C40B62">
            <w:pPr>
              <w:rPr>
                <w:rFonts w:ascii="Arial" w:hAnsi="Arial" w:cs="Arial"/>
                <w:sz w:val="18"/>
                <w:szCs w:val="18"/>
                <w:highlight w:val="yellow"/>
              </w:rPr>
            </w:pPr>
          </w:p>
        </w:tc>
        <w:tc>
          <w:tcPr>
            <w:tcW w:w="1275" w:type="dxa"/>
            <w:vAlign w:val="center"/>
          </w:tcPr>
          <w:p w14:paraId="12A20FC1" w14:textId="3B9D3E71"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6E432ACA"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21CD72C2" w14:textId="77777777" w:rsidR="00733733" w:rsidRPr="00266204" w:rsidRDefault="00733733" w:rsidP="00BF395F">
            <w:pPr>
              <w:jc w:val="center"/>
              <w:rPr>
                <w:rFonts w:ascii="Arial" w:hAnsi="Arial" w:cs="Arial"/>
                <w:color w:val="0070C0"/>
                <w:sz w:val="18"/>
                <w:szCs w:val="18"/>
                <w:highlight w:val="yellow"/>
              </w:rPr>
            </w:pPr>
            <w:r w:rsidRPr="00C40B62">
              <w:rPr>
                <w:rFonts w:ascii="Arial" w:hAnsi="Arial" w:cs="Arial"/>
                <w:sz w:val="18"/>
                <w:szCs w:val="18"/>
              </w:rPr>
              <w:t>planowany</w:t>
            </w:r>
          </w:p>
        </w:tc>
      </w:tr>
      <w:tr w:rsidR="00733733" w:rsidRPr="009F6D2F" w14:paraId="58FEDE72" w14:textId="77777777" w:rsidTr="00C17D37">
        <w:tc>
          <w:tcPr>
            <w:tcW w:w="2646" w:type="dxa"/>
          </w:tcPr>
          <w:p w14:paraId="73C3A1E9"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327630D" w14:textId="2C9E20F8" w:rsidR="00C676E7" w:rsidRPr="00C17D37" w:rsidRDefault="00C676E7" w:rsidP="00BF395F">
            <w:pPr>
              <w:rPr>
                <w:rFonts w:ascii="Arial" w:hAnsi="Arial" w:cs="Arial"/>
                <w:color w:val="FF0000"/>
                <w:sz w:val="18"/>
                <w:szCs w:val="18"/>
              </w:rPr>
            </w:pPr>
          </w:p>
        </w:tc>
        <w:tc>
          <w:tcPr>
            <w:tcW w:w="1275" w:type="dxa"/>
            <w:vAlign w:val="center"/>
          </w:tcPr>
          <w:p w14:paraId="090FC9DC" w14:textId="2EAE1CAA"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3DBFB21F"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E2127C0" w14:textId="77777777" w:rsidR="00733733" w:rsidRPr="00266204" w:rsidRDefault="00733733" w:rsidP="00BF395F">
            <w:pPr>
              <w:jc w:val="center"/>
              <w:rPr>
                <w:rFonts w:ascii="Arial" w:hAnsi="Arial" w:cs="Arial"/>
                <w:color w:val="0070C0"/>
                <w:sz w:val="18"/>
                <w:szCs w:val="18"/>
                <w:highlight w:val="yellow"/>
              </w:rPr>
            </w:pPr>
            <w:r w:rsidRPr="00C17D37">
              <w:rPr>
                <w:rFonts w:ascii="Arial" w:hAnsi="Arial" w:cs="Arial"/>
                <w:sz w:val="18"/>
                <w:szCs w:val="18"/>
              </w:rPr>
              <w:t>planowany</w:t>
            </w:r>
          </w:p>
        </w:tc>
      </w:tr>
      <w:tr w:rsidR="00733733" w:rsidRPr="009F6D2F" w14:paraId="75184548" w14:textId="77777777" w:rsidTr="004C7EBF">
        <w:tc>
          <w:tcPr>
            <w:tcW w:w="2646" w:type="dxa"/>
          </w:tcPr>
          <w:p w14:paraId="44A89242"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Operacyjnego Centrum Bezpieczeństwa (SOC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11FFB576" w14:textId="77777777" w:rsidR="009C3F7B" w:rsidRPr="00BC1003" w:rsidRDefault="009C3F7B" w:rsidP="00BF395F">
            <w:pPr>
              <w:rPr>
                <w:rFonts w:ascii="Arial" w:hAnsi="Arial" w:cs="Arial"/>
                <w:sz w:val="18"/>
                <w:szCs w:val="18"/>
              </w:rPr>
            </w:pPr>
            <w:r w:rsidRPr="00BC1003">
              <w:rPr>
                <w:rFonts w:ascii="Arial" w:hAnsi="Arial" w:cs="Arial"/>
                <w:sz w:val="18"/>
                <w:szCs w:val="18"/>
              </w:rPr>
              <w:t xml:space="preserve">Nr 1 – </w:t>
            </w:r>
            <w:r w:rsidR="00733733" w:rsidRPr="00BC1003">
              <w:rPr>
                <w:rFonts w:ascii="Arial" w:hAnsi="Arial" w:cs="Arial"/>
                <w:sz w:val="18"/>
                <w:szCs w:val="18"/>
              </w:rPr>
              <w:t>1</w:t>
            </w:r>
            <w:r w:rsidRPr="00BC1003">
              <w:rPr>
                <w:rFonts w:ascii="Arial" w:hAnsi="Arial" w:cs="Arial"/>
                <w:sz w:val="18"/>
                <w:szCs w:val="18"/>
              </w:rPr>
              <w:t xml:space="preserve"> szt.</w:t>
            </w:r>
            <w:r w:rsidR="00733733" w:rsidRPr="00BC1003">
              <w:rPr>
                <w:rFonts w:ascii="Arial" w:hAnsi="Arial" w:cs="Arial"/>
                <w:sz w:val="18"/>
                <w:szCs w:val="18"/>
              </w:rPr>
              <w:t xml:space="preserve"> </w:t>
            </w:r>
          </w:p>
          <w:p w14:paraId="19E12E49" w14:textId="098753B2" w:rsidR="004C7EBF" w:rsidRPr="00266204" w:rsidRDefault="004C7EBF" w:rsidP="00BF395F">
            <w:pPr>
              <w:rPr>
                <w:rFonts w:ascii="Arial" w:hAnsi="Arial" w:cs="Arial"/>
                <w:sz w:val="18"/>
                <w:szCs w:val="18"/>
                <w:highlight w:val="yellow"/>
              </w:rPr>
            </w:pPr>
          </w:p>
        </w:tc>
        <w:tc>
          <w:tcPr>
            <w:tcW w:w="1275" w:type="dxa"/>
            <w:vAlign w:val="center"/>
          </w:tcPr>
          <w:p w14:paraId="6EB965C2" w14:textId="226173C4"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5981A901"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5E3D69FF" w14:textId="77777777" w:rsidR="00733733" w:rsidRPr="00266204" w:rsidRDefault="00733733" w:rsidP="00BF395F">
            <w:pPr>
              <w:jc w:val="center"/>
              <w:rPr>
                <w:rFonts w:ascii="Arial" w:hAnsi="Arial" w:cs="Arial"/>
                <w:color w:val="0070C0"/>
                <w:sz w:val="18"/>
                <w:szCs w:val="18"/>
                <w:highlight w:val="yellow"/>
              </w:rPr>
            </w:pPr>
            <w:r w:rsidRPr="004C7EBF">
              <w:rPr>
                <w:rFonts w:ascii="Arial" w:hAnsi="Arial" w:cs="Arial"/>
                <w:sz w:val="18"/>
                <w:szCs w:val="18"/>
              </w:rPr>
              <w:t>planowany</w:t>
            </w:r>
          </w:p>
        </w:tc>
      </w:tr>
    </w:tbl>
    <w:p w14:paraId="3F26DFB4" w14:textId="77777777" w:rsidR="00141A92" w:rsidRPr="009F6D2F" w:rsidRDefault="00CF2E64" w:rsidP="00733733">
      <w:pPr>
        <w:spacing w:before="240" w:after="120"/>
        <w:ind w:right="-994"/>
        <w:rPr>
          <w:rFonts w:ascii="Arial" w:hAnsi="Arial" w:cs="Arial"/>
          <w:b/>
          <w:sz w:val="18"/>
          <w:szCs w:val="18"/>
        </w:rPr>
      </w:pPr>
      <w:r w:rsidRPr="00EB5A7C">
        <w:rPr>
          <w:rFonts w:ascii="Arial" w:hAnsi="Arial" w:cs="Arial"/>
          <w:b/>
          <w:sz w:val="18"/>
          <w:szCs w:val="18"/>
        </w:rPr>
        <w:t>Wskaźniki efektywności projektu (KPI)</w:t>
      </w:r>
    </w:p>
    <w:tbl>
      <w:tblPr>
        <w:tblStyle w:val="Tabela-Siatka"/>
        <w:tblW w:w="9225" w:type="dxa"/>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14:paraId="6C737DA5" w14:textId="77777777" w:rsidTr="00A122D2">
        <w:trPr>
          <w:trHeight w:val="1541"/>
          <w:tblHeader/>
        </w:trPr>
        <w:tc>
          <w:tcPr>
            <w:tcW w:w="3838" w:type="dxa"/>
            <w:shd w:val="clear" w:color="auto" w:fill="D0CECE" w:themeFill="background2" w:themeFillShade="E6"/>
            <w:vAlign w:val="center"/>
          </w:tcPr>
          <w:p w14:paraId="5160E2AB" w14:textId="77777777"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14:paraId="0CE491A4" w14:textId="77777777"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14:paraId="37B3FA0D" w14:textId="77777777"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14:paraId="0E8C846A" w14:textId="77777777"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14:paraId="3FC0991F" w14:textId="77777777"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14:paraId="5ABF0018" w14:textId="77777777"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A122D2" w:rsidRPr="009F6D2F" w14:paraId="3DB92DCF" w14:textId="77777777" w:rsidTr="009A1885">
        <w:tc>
          <w:tcPr>
            <w:tcW w:w="3838" w:type="dxa"/>
          </w:tcPr>
          <w:p w14:paraId="25A8167C"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eastAsia="pl-PL"/>
              </w:rPr>
              <w:t>Liczba urzędów, które wdrożyły katalog rekomendacji dotyczących awansu cyfrowego</w:t>
            </w:r>
          </w:p>
        </w:tc>
        <w:tc>
          <w:tcPr>
            <w:tcW w:w="1276" w:type="dxa"/>
            <w:vAlign w:val="center"/>
          </w:tcPr>
          <w:p w14:paraId="3C734A1F"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2DEF4E25"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14:paraId="5095B4D6" w14:textId="286447F9" w:rsidR="00A122D2" w:rsidRPr="00266204" w:rsidRDefault="003F2822" w:rsidP="009A1885">
            <w:pPr>
              <w:jc w:val="center"/>
              <w:rPr>
                <w:rFonts w:ascii="Arial" w:hAnsi="Arial" w:cs="Arial"/>
                <w:color w:val="0070C0"/>
                <w:sz w:val="18"/>
                <w:szCs w:val="18"/>
                <w:highlight w:val="yellow"/>
                <w:lang w:eastAsia="pl-PL"/>
              </w:rPr>
            </w:pPr>
            <w:r w:rsidRPr="003F2822">
              <w:rPr>
                <w:rFonts w:ascii="Arial" w:hAnsi="Arial" w:cs="Arial"/>
                <w:noProof/>
                <w:sz w:val="18"/>
                <w:szCs w:val="18"/>
              </w:rPr>
              <w:t>03</w:t>
            </w:r>
            <w:r w:rsidR="009A1885" w:rsidRPr="003F2822">
              <w:rPr>
                <w:rFonts w:ascii="Arial" w:hAnsi="Arial" w:cs="Arial"/>
                <w:noProof/>
                <w:sz w:val="18"/>
                <w:szCs w:val="18"/>
              </w:rPr>
              <w:t xml:space="preserve"> – 202</w:t>
            </w:r>
            <w:r w:rsidRPr="003F2822">
              <w:rPr>
                <w:rFonts w:ascii="Arial" w:hAnsi="Arial" w:cs="Arial"/>
                <w:noProof/>
                <w:sz w:val="18"/>
                <w:szCs w:val="18"/>
              </w:rPr>
              <w:t>2</w:t>
            </w:r>
          </w:p>
        </w:tc>
        <w:tc>
          <w:tcPr>
            <w:tcW w:w="1418" w:type="dxa"/>
            <w:vAlign w:val="center"/>
          </w:tcPr>
          <w:p w14:paraId="1A4755F4" w14:textId="77777777" w:rsidR="00A122D2" w:rsidRPr="00547C54" w:rsidRDefault="00A122D2" w:rsidP="00980AD5">
            <w:pPr>
              <w:jc w:val="center"/>
              <w:rPr>
                <w:rFonts w:ascii="Arial" w:hAnsi="Arial" w:cs="Arial"/>
                <w:color w:val="0070C0"/>
                <w:sz w:val="18"/>
                <w:szCs w:val="18"/>
              </w:rPr>
            </w:pPr>
          </w:p>
        </w:tc>
      </w:tr>
      <w:tr w:rsidR="00A122D2" w:rsidRPr="009F6D2F" w14:paraId="170D1A18" w14:textId="77777777" w:rsidTr="009A1885">
        <w:tc>
          <w:tcPr>
            <w:tcW w:w="3838" w:type="dxa"/>
          </w:tcPr>
          <w:p w14:paraId="041F3293"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14:paraId="3BE3D2BF"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2E18BCB5"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14:paraId="060C44FF" w14:textId="3337BE22"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1FBFAAED" w14:textId="77777777" w:rsidR="00A122D2" w:rsidRPr="00547C54" w:rsidRDefault="00A122D2" w:rsidP="00980AD5">
            <w:pPr>
              <w:jc w:val="center"/>
              <w:rPr>
                <w:rFonts w:ascii="Arial" w:hAnsi="Arial" w:cs="Arial"/>
                <w:color w:val="0070C0"/>
                <w:sz w:val="18"/>
                <w:szCs w:val="18"/>
              </w:rPr>
            </w:pPr>
          </w:p>
        </w:tc>
      </w:tr>
      <w:tr w:rsidR="00A122D2" w:rsidRPr="009F6D2F" w14:paraId="70B7EAD6" w14:textId="77777777" w:rsidTr="009A1885">
        <w:tc>
          <w:tcPr>
            <w:tcW w:w="3838" w:type="dxa"/>
            <w:vAlign w:val="center"/>
          </w:tcPr>
          <w:p w14:paraId="6CAED5F2"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14:paraId="0A528CD8"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1BF1EB8D"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14:paraId="2AE632BA" w14:textId="7C85FC4F"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5C34CD61" w14:textId="77777777" w:rsidR="00A122D2" w:rsidRPr="00547C54" w:rsidRDefault="00A122D2" w:rsidP="00980AD5">
            <w:pPr>
              <w:jc w:val="center"/>
              <w:rPr>
                <w:rFonts w:ascii="Arial" w:hAnsi="Arial" w:cs="Arial"/>
                <w:color w:val="0070C0"/>
                <w:sz w:val="18"/>
                <w:szCs w:val="18"/>
              </w:rPr>
            </w:pPr>
          </w:p>
        </w:tc>
      </w:tr>
      <w:tr w:rsidR="00A122D2" w:rsidRPr="009F6D2F" w14:paraId="14947C00" w14:textId="77777777" w:rsidTr="009A1885">
        <w:tc>
          <w:tcPr>
            <w:tcW w:w="3838" w:type="dxa"/>
            <w:vAlign w:val="center"/>
          </w:tcPr>
          <w:p w14:paraId="5AB90375"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14:paraId="06C6991E"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BECBFCF"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14:paraId="14872C9D" w14:textId="3B2D5A5C"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20C7304B" w14:textId="77777777" w:rsidR="00A122D2" w:rsidRPr="00547C54" w:rsidRDefault="00A122D2" w:rsidP="00980AD5">
            <w:pPr>
              <w:jc w:val="center"/>
              <w:rPr>
                <w:rFonts w:ascii="Arial" w:hAnsi="Arial" w:cs="Arial"/>
                <w:color w:val="0070C0"/>
                <w:sz w:val="18"/>
                <w:szCs w:val="18"/>
              </w:rPr>
            </w:pPr>
          </w:p>
        </w:tc>
      </w:tr>
      <w:tr w:rsidR="00A122D2" w:rsidRPr="009F6D2F" w14:paraId="6A850288" w14:textId="77777777" w:rsidTr="009A1885">
        <w:tc>
          <w:tcPr>
            <w:tcW w:w="3838" w:type="dxa"/>
            <w:vAlign w:val="center"/>
          </w:tcPr>
          <w:p w14:paraId="1F65BBCE"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podmiotów, które usprawniły funkcjonowanie w zakresie objętym katalogiem rekomendacji dotyczących awansu cyfrowego</w:t>
            </w:r>
          </w:p>
        </w:tc>
        <w:tc>
          <w:tcPr>
            <w:tcW w:w="1276" w:type="dxa"/>
            <w:vAlign w:val="center"/>
          </w:tcPr>
          <w:p w14:paraId="1CE2A355"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3DA0B105"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14:paraId="58B3EF0C" w14:textId="55F05868"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09E67E39" w14:textId="77777777" w:rsidR="00A122D2" w:rsidRPr="00547C54" w:rsidRDefault="00A122D2" w:rsidP="00980AD5">
            <w:pPr>
              <w:jc w:val="center"/>
              <w:rPr>
                <w:rFonts w:ascii="Arial" w:hAnsi="Arial" w:cs="Arial"/>
                <w:color w:val="0070C0"/>
                <w:sz w:val="18"/>
                <w:szCs w:val="18"/>
              </w:rPr>
            </w:pPr>
          </w:p>
        </w:tc>
      </w:tr>
      <w:tr w:rsidR="00A122D2" w:rsidRPr="009F6D2F" w14:paraId="32D91D70" w14:textId="77777777" w:rsidTr="009A1885">
        <w:tc>
          <w:tcPr>
            <w:tcW w:w="3838" w:type="dxa"/>
            <w:vAlign w:val="center"/>
          </w:tcPr>
          <w:p w14:paraId="0BBF1398"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14:paraId="3C5F6F2F"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3439240F"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14:paraId="0F291FF4" w14:textId="007C7796"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37BB9893" w14:textId="77777777" w:rsidR="00A122D2" w:rsidRPr="00547C54" w:rsidRDefault="00A122D2" w:rsidP="00980AD5">
            <w:pPr>
              <w:jc w:val="center"/>
              <w:rPr>
                <w:rFonts w:ascii="Arial" w:hAnsi="Arial" w:cs="Arial"/>
                <w:color w:val="0070C0"/>
                <w:sz w:val="18"/>
                <w:szCs w:val="18"/>
              </w:rPr>
            </w:pPr>
          </w:p>
        </w:tc>
      </w:tr>
      <w:tr w:rsidR="00A122D2" w:rsidRPr="009F6D2F" w14:paraId="7948E7F2" w14:textId="77777777" w:rsidTr="009A1885">
        <w:tc>
          <w:tcPr>
            <w:tcW w:w="3838" w:type="dxa"/>
            <w:vAlign w:val="center"/>
          </w:tcPr>
          <w:p w14:paraId="4E4B29F4"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14:paraId="34954E6F"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5EEEB52A"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14:paraId="06A8F8FC" w14:textId="420454E3"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1B647E2B" w14:textId="77777777" w:rsidR="00A122D2" w:rsidRPr="00547C54" w:rsidRDefault="00A122D2" w:rsidP="00980AD5">
            <w:pPr>
              <w:jc w:val="center"/>
              <w:rPr>
                <w:rFonts w:ascii="Arial" w:hAnsi="Arial" w:cs="Arial"/>
                <w:color w:val="0070C0"/>
                <w:sz w:val="18"/>
                <w:szCs w:val="18"/>
              </w:rPr>
            </w:pPr>
          </w:p>
        </w:tc>
      </w:tr>
      <w:tr w:rsidR="00A122D2" w:rsidRPr="009F6D2F" w14:paraId="24D81768" w14:textId="77777777" w:rsidTr="009A1885">
        <w:tc>
          <w:tcPr>
            <w:tcW w:w="3838" w:type="dxa"/>
            <w:vAlign w:val="center"/>
          </w:tcPr>
          <w:p w14:paraId="7CF7352F"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14:paraId="32C03919"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135B32A6"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2CB2D77B" w14:textId="3B39666D"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640166F8" w14:textId="77777777" w:rsidR="00A122D2" w:rsidRPr="00547C54" w:rsidRDefault="00A122D2" w:rsidP="00980AD5">
            <w:pPr>
              <w:jc w:val="center"/>
              <w:rPr>
                <w:rFonts w:ascii="Arial" w:hAnsi="Arial" w:cs="Arial"/>
                <w:color w:val="0070C0"/>
                <w:sz w:val="18"/>
                <w:szCs w:val="18"/>
              </w:rPr>
            </w:pPr>
          </w:p>
        </w:tc>
      </w:tr>
      <w:tr w:rsidR="00A122D2" w:rsidRPr="009F6D2F" w14:paraId="3194C3DD" w14:textId="77777777" w:rsidTr="009A1885">
        <w:tc>
          <w:tcPr>
            <w:tcW w:w="3838" w:type="dxa"/>
            <w:vAlign w:val="center"/>
          </w:tcPr>
          <w:p w14:paraId="1106A60F"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14:paraId="471D468B"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49282C12"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252F85C2" w14:textId="241B405C" w:rsidR="00A122D2" w:rsidRPr="00266204" w:rsidRDefault="003F2822" w:rsidP="009A1885">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2B2B2770" w14:textId="77777777" w:rsidR="00A122D2" w:rsidRPr="00547C54" w:rsidRDefault="00A122D2" w:rsidP="00980AD5">
            <w:pPr>
              <w:jc w:val="center"/>
              <w:rPr>
                <w:rFonts w:ascii="Arial" w:hAnsi="Arial" w:cs="Arial"/>
                <w:color w:val="0070C0"/>
                <w:sz w:val="18"/>
                <w:szCs w:val="18"/>
              </w:rPr>
            </w:pPr>
          </w:p>
        </w:tc>
      </w:tr>
    </w:tbl>
    <w:p w14:paraId="332AB666" w14:textId="77777777" w:rsidR="007D2C34" w:rsidRPr="009F6D2F" w:rsidRDefault="007D2C34" w:rsidP="00141A92">
      <w:pPr>
        <w:pStyle w:val="Nagwek2"/>
        <w:numPr>
          <w:ilvl w:val="0"/>
          <w:numId w:val="19"/>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lastRenderedPageBreak/>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14:paraId="4006F681" w14:textId="77777777" w:rsidTr="00BF395F">
        <w:trPr>
          <w:tblHeader/>
        </w:trPr>
        <w:tc>
          <w:tcPr>
            <w:tcW w:w="2937" w:type="dxa"/>
            <w:shd w:val="clear" w:color="auto" w:fill="D0CECE" w:themeFill="background2" w:themeFillShade="E6"/>
            <w:vAlign w:val="center"/>
          </w:tcPr>
          <w:p w14:paraId="08A43AFA" w14:textId="77777777"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14:paraId="1F774D15" w14:textId="77777777"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14:paraId="3ED4E450" w14:textId="77777777"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0847A80F" w14:textId="77777777"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14:paraId="4E9CE2EF" w14:textId="77777777" w:rsidTr="00517F12">
        <w:tc>
          <w:tcPr>
            <w:tcW w:w="2937" w:type="dxa"/>
          </w:tcPr>
          <w:p w14:paraId="662B8F66" w14:textId="77777777"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30292268" w14:textId="77777777" w:rsidR="007D38BD" w:rsidRPr="009F6D2F" w:rsidRDefault="007D38BD" w:rsidP="00C1106C">
            <w:pPr>
              <w:rPr>
                <w:rFonts w:ascii="Arial" w:hAnsi="Arial" w:cs="Arial"/>
                <w:color w:val="0070C0"/>
                <w:sz w:val="18"/>
                <w:szCs w:val="18"/>
              </w:rPr>
            </w:pPr>
          </w:p>
        </w:tc>
        <w:tc>
          <w:tcPr>
            <w:tcW w:w="1134" w:type="dxa"/>
          </w:tcPr>
          <w:p w14:paraId="3519CE44" w14:textId="77777777" w:rsidR="007D38BD" w:rsidRPr="009F6D2F" w:rsidRDefault="007D38BD" w:rsidP="00C1106C">
            <w:pPr>
              <w:rPr>
                <w:rFonts w:ascii="Arial" w:hAnsi="Arial" w:cs="Arial"/>
                <w:color w:val="0070C0"/>
                <w:sz w:val="18"/>
                <w:szCs w:val="18"/>
              </w:rPr>
            </w:pPr>
          </w:p>
        </w:tc>
        <w:tc>
          <w:tcPr>
            <w:tcW w:w="4394" w:type="dxa"/>
          </w:tcPr>
          <w:p w14:paraId="3A0AE26B" w14:textId="77777777" w:rsidR="007D38BD" w:rsidRPr="009F6D2F" w:rsidRDefault="007D38BD" w:rsidP="00C1106C">
            <w:pPr>
              <w:rPr>
                <w:rFonts w:ascii="Arial" w:hAnsi="Arial" w:cs="Arial"/>
                <w:color w:val="0070C0"/>
                <w:sz w:val="18"/>
                <w:szCs w:val="18"/>
              </w:rPr>
            </w:pPr>
          </w:p>
        </w:tc>
      </w:tr>
    </w:tbl>
    <w:p w14:paraId="73BAD046" w14:textId="77777777" w:rsidR="00933BEC" w:rsidRPr="009F6D2F" w:rsidRDefault="00933BEC" w:rsidP="00141A92">
      <w:pPr>
        <w:pStyle w:val="Nagwek2"/>
        <w:numPr>
          <w:ilvl w:val="0"/>
          <w:numId w:val="19"/>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Udostępnione informacje sektora publicznego i zdigitalizowane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14:paraId="5873B116" w14:textId="77777777" w:rsidTr="00BF395F">
        <w:trPr>
          <w:tblHeader/>
        </w:trPr>
        <w:tc>
          <w:tcPr>
            <w:tcW w:w="2937" w:type="dxa"/>
            <w:shd w:val="clear" w:color="auto" w:fill="D0CECE" w:themeFill="background2" w:themeFillShade="E6"/>
            <w:vAlign w:val="center"/>
          </w:tcPr>
          <w:p w14:paraId="60D50B62" w14:textId="77777777"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14:paraId="6822957A" w14:textId="77777777"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14:paraId="11CD5239" w14:textId="77777777"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0CD81393" w14:textId="77777777"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14:paraId="3C4F1C77" w14:textId="77777777" w:rsidTr="00C6751B">
        <w:tc>
          <w:tcPr>
            <w:tcW w:w="2937" w:type="dxa"/>
          </w:tcPr>
          <w:p w14:paraId="695D8C28" w14:textId="77777777"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44D6BB57" w14:textId="77777777" w:rsidR="00C6751B" w:rsidRPr="009F6D2F" w:rsidRDefault="00C6751B" w:rsidP="00C6751B">
            <w:pPr>
              <w:rPr>
                <w:rFonts w:ascii="Arial" w:hAnsi="Arial" w:cs="Arial"/>
                <w:color w:val="0070C0"/>
                <w:sz w:val="18"/>
                <w:szCs w:val="18"/>
              </w:rPr>
            </w:pPr>
          </w:p>
        </w:tc>
        <w:tc>
          <w:tcPr>
            <w:tcW w:w="1134" w:type="dxa"/>
          </w:tcPr>
          <w:p w14:paraId="7CDDC627" w14:textId="77777777" w:rsidR="00C6751B" w:rsidRPr="009F6D2F" w:rsidRDefault="00C6751B" w:rsidP="00C6751B">
            <w:pPr>
              <w:rPr>
                <w:rFonts w:ascii="Arial" w:hAnsi="Arial" w:cs="Arial"/>
                <w:color w:val="0070C0"/>
                <w:sz w:val="18"/>
                <w:szCs w:val="18"/>
              </w:rPr>
            </w:pPr>
          </w:p>
        </w:tc>
        <w:tc>
          <w:tcPr>
            <w:tcW w:w="4394" w:type="dxa"/>
          </w:tcPr>
          <w:p w14:paraId="6307C64B" w14:textId="77777777" w:rsidR="00C6751B" w:rsidRPr="009F6D2F" w:rsidRDefault="00C6751B" w:rsidP="00A44EA2">
            <w:pPr>
              <w:rPr>
                <w:rFonts w:ascii="Arial" w:hAnsi="Arial" w:cs="Arial"/>
                <w:color w:val="0070C0"/>
                <w:sz w:val="18"/>
                <w:szCs w:val="18"/>
              </w:rPr>
            </w:pPr>
          </w:p>
        </w:tc>
      </w:tr>
    </w:tbl>
    <w:p w14:paraId="4203C651" w14:textId="77777777" w:rsidR="004C1D48" w:rsidRPr="009F6D2F" w:rsidRDefault="004C1D48" w:rsidP="00141A92">
      <w:pPr>
        <w:pStyle w:val="Nagwek3"/>
        <w:numPr>
          <w:ilvl w:val="0"/>
          <w:numId w:val="19"/>
        </w:numPr>
        <w:spacing w:before="360"/>
        <w:ind w:left="426" w:hanging="426"/>
        <w:rPr>
          <w:rFonts w:ascii="Arial" w:hAnsi="Arial" w:cs="Arial"/>
          <w:sz w:val="18"/>
          <w:szCs w:val="18"/>
        </w:rPr>
      </w:pPr>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14:paraId="29616BFC" w14:textId="77777777" w:rsidTr="00BF395F">
        <w:trPr>
          <w:tblHeader/>
        </w:trPr>
        <w:tc>
          <w:tcPr>
            <w:tcW w:w="2972" w:type="dxa"/>
            <w:shd w:val="clear" w:color="auto" w:fill="D0CECE" w:themeFill="background2" w:themeFillShade="E6"/>
            <w:vAlign w:val="center"/>
          </w:tcPr>
          <w:p w14:paraId="25DBD709" w14:textId="77777777"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14:paraId="7DD5444A" w14:textId="77777777"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14:paraId="79A9CAC8" w14:textId="77777777"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14:paraId="01D55D43" w14:textId="77777777" w:rsidR="004C1D48" w:rsidRPr="009F6D2F" w:rsidRDefault="004C1D48" w:rsidP="00BF395F">
            <w:pPr>
              <w:jc w:val="center"/>
              <w:rPr>
                <w:rFonts w:ascii="Arial" w:hAnsi="Arial" w:cs="Arial"/>
                <w:b/>
                <w:sz w:val="18"/>
                <w:szCs w:val="18"/>
              </w:rPr>
            </w:pPr>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p w14:paraId="71677787" w14:textId="77777777" w:rsidR="004C1D48" w:rsidRPr="009F6D2F" w:rsidRDefault="004C1D48" w:rsidP="00BF395F">
            <w:pPr>
              <w:jc w:val="center"/>
              <w:rPr>
                <w:rFonts w:ascii="Arial" w:hAnsi="Arial" w:cs="Arial"/>
                <w:b/>
                <w:sz w:val="18"/>
                <w:szCs w:val="18"/>
              </w:rPr>
            </w:pPr>
          </w:p>
        </w:tc>
      </w:tr>
      <w:tr w:rsidR="00A122D2" w:rsidRPr="009F6D2F" w14:paraId="32275C0F" w14:textId="77777777" w:rsidTr="00BF395F">
        <w:tc>
          <w:tcPr>
            <w:tcW w:w="2972" w:type="dxa"/>
          </w:tcPr>
          <w:p w14:paraId="1978695B" w14:textId="77777777"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WEB-GATEWAY – zapewniający zaawansowaną ochronę przed malware</w:t>
            </w:r>
            <w:r>
              <w:rPr>
                <w:rFonts w:ascii="Arial" w:hAnsi="Arial" w:cs="Arial"/>
                <w:sz w:val="18"/>
                <w:szCs w:val="18"/>
              </w:rPr>
              <w:t>.</w:t>
            </w:r>
            <w:r w:rsidRPr="009F6D2F">
              <w:rPr>
                <w:rFonts w:ascii="Arial" w:hAnsi="Arial" w:cs="Arial"/>
                <w:sz w:val="18"/>
                <w:szCs w:val="18"/>
              </w:rPr>
              <w:t xml:space="preserve"> </w:t>
            </w:r>
          </w:p>
        </w:tc>
        <w:tc>
          <w:tcPr>
            <w:tcW w:w="1276" w:type="dxa"/>
            <w:vAlign w:val="center"/>
          </w:tcPr>
          <w:p w14:paraId="3B6E947C" w14:textId="42BD1E6A" w:rsidR="00A122D2" w:rsidRPr="00886D60" w:rsidRDefault="00886D60" w:rsidP="00BF395F">
            <w:pPr>
              <w:rPr>
                <w:rFonts w:ascii="Arial" w:hAnsi="Arial" w:cs="Arial"/>
                <w:color w:val="0070C0"/>
                <w:sz w:val="18"/>
                <w:szCs w:val="18"/>
              </w:rPr>
            </w:pPr>
            <w:r w:rsidRPr="00886D60">
              <w:rPr>
                <w:rFonts w:ascii="Arial" w:hAnsi="Arial" w:cs="Arial"/>
                <w:sz w:val="18"/>
                <w:szCs w:val="18"/>
              </w:rPr>
              <w:t>03</w:t>
            </w:r>
            <w:r w:rsidR="009A1885" w:rsidRPr="00886D60">
              <w:rPr>
                <w:rFonts w:ascii="Arial" w:hAnsi="Arial" w:cs="Arial"/>
                <w:sz w:val="18"/>
                <w:szCs w:val="18"/>
              </w:rPr>
              <w:t xml:space="preserve"> – </w:t>
            </w:r>
            <w:r w:rsidRPr="00886D60">
              <w:rPr>
                <w:rFonts w:ascii="Arial" w:hAnsi="Arial" w:cs="Arial"/>
                <w:sz w:val="18"/>
                <w:szCs w:val="18"/>
              </w:rPr>
              <w:t>2021</w:t>
            </w:r>
          </w:p>
        </w:tc>
        <w:tc>
          <w:tcPr>
            <w:tcW w:w="1843" w:type="dxa"/>
          </w:tcPr>
          <w:p w14:paraId="1C433D61" w14:textId="77777777" w:rsidR="00A122D2" w:rsidRPr="009F6D2F" w:rsidRDefault="00A122D2" w:rsidP="002F1336">
            <w:pPr>
              <w:rPr>
                <w:rFonts w:ascii="Arial" w:hAnsi="Arial" w:cs="Arial"/>
                <w:color w:val="0070C0"/>
                <w:sz w:val="18"/>
                <w:szCs w:val="18"/>
              </w:rPr>
            </w:pPr>
          </w:p>
        </w:tc>
        <w:tc>
          <w:tcPr>
            <w:tcW w:w="3543" w:type="dxa"/>
            <w:vMerge w:val="restart"/>
            <w:vAlign w:val="center"/>
          </w:tcPr>
          <w:p w14:paraId="5A966E08" w14:textId="77777777" w:rsidR="00FD4271" w:rsidRPr="007347A2" w:rsidRDefault="00FD4271" w:rsidP="00BF395F">
            <w:pPr>
              <w:rPr>
                <w:rFonts w:ascii="Arial" w:hAnsi="Arial" w:cs="Arial"/>
                <w:sz w:val="18"/>
                <w:szCs w:val="18"/>
              </w:rPr>
            </w:pPr>
            <w:r w:rsidRPr="007347A2">
              <w:rPr>
                <w:rFonts w:ascii="Arial" w:hAnsi="Arial" w:cs="Arial"/>
                <w:sz w:val="18"/>
                <w:szCs w:val="18"/>
              </w:rPr>
              <w:t xml:space="preserve">Produkty  SANDBOX, ATP, Web Gateway, WAF wdrożone w ramach projektu KSZBI będą miały wpływ na podniesienie  poziomu bezpieczeństwa przepływu zasobów danych SISP i SISP-2  oraz systemów im podległych. </w:t>
            </w:r>
          </w:p>
          <w:p w14:paraId="580800CC" w14:textId="77777777" w:rsidR="00FD4271" w:rsidRPr="007347A2" w:rsidRDefault="00FD4271" w:rsidP="00BF395F">
            <w:pPr>
              <w:rPr>
                <w:rFonts w:ascii="Arial" w:hAnsi="Arial" w:cs="Arial"/>
                <w:sz w:val="18"/>
                <w:szCs w:val="18"/>
              </w:rPr>
            </w:pPr>
            <w:r w:rsidRPr="007347A2">
              <w:rPr>
                <w:rFonts w:ascii="Arial" w:hAnsi="Arial" w:cs="Arial"/>
                <w:sz w:val="18"/>
                <w:szCs w:val="18"/>
              </w:rPr>
              <w:t xml:space="preserve">Projekt KSZBI nie będzie więc powielał działań zrealizowanych w ramach projektów GUS lecz uzupełni ich zakres o elementy zapewniające </w:t>
            </w:r>
            <w:r w:rsidR="00AB6586" w:rsidRPr="007347A2">
              <w:rPr>
                <w:rFonts w:ascii="Arial" w:hAnsi="Arial" w:cs="Arial"/>
                <w:sz w:val="18"/>
                <w:szCs w:val="18"/>
              </w:rPr>
              <w:t xml:space="preserve">ich </w:t>
            </w:r>
            <w:r w:rsidRPr="007347A2">
              <w:rPr>
                <w:rFonts w:ascii="Arial" w:hAnsi="Arial" w:cs="Arial"/>
                <w:sz w:val="18"/>
                <w:szCs w:val="18"/>
              </w:rPr>
              <w:t>bezpieczeństwo.</w:t>
            </w:r>
          </w:p>
          <w:p w14:paraId="46136E6C" w14:textId="77777777" w:rsidR="00FD4271" w:rsidRPr="007347A2" w:rsidRDefault="00FD4271" w:rsidP="00BF395F">
            <w:pPr>
              <w:rPr>
                <w:rFonts w:ascii="Arial" w:hAnsi="Arial" w:cs="Arial"/>
                <w:sz w:val="18"/>
                <w:szCs w:val="18"/>
              </w:rPr>
            </w:pPr>
          </w:p>
          <w:p w14:paraId="727FF6AE" w14:textId="77777777" w:rsidR="00A122D2" w:rsidRPr="009F6D2F" w:rsidRDefault="00FD4271" w:rsidP="00BF395F">
            <w:pPr>
              <w:rPr>
                <w:rFonts w:ascii="Arial" w:hAnsi="Arial" w:cs="Arial"/>
                <w:color w:val="0070C0"/>
                <w:sz w:val="18"/>
                <w:szCs w:val="18"/>
              </w:rPr>
            </w:pPr>
            <w:r w:rsidRPr="007347A2">
              <w:rPr>
                <w:rFonts w:ascii="Arial" w:hAnsi="Arial" w:cs="Arial"/>
                <w:sz w:val="18"/>
                <w:szCs w:val="18"/>
              </w:rPr>
              <w:t>Status integracji: planowana.</w:t>
            </w:r>
          </w:p>
        </w:tc>
      </w:tr>
      <w:tr w:rsidR="00A122D2" w:rsidRPr="009F6D2F" w14:paraId="369EFE8A" w14:textId="77777777" w:rsidTr="00BF395F">
        <w:tc>
          <w:tcPr>
            <w:tcW w:w="2972" w:type="dxa"/>
          </w:tcPr>
          <w:p w14:paraId="2B038630" w14:textId="77777777"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14:paraId="413FB801" w14:textId="38E58725" w:rsidR="00A122D2" w:rsidRPr="00886D60" w:rsidRDefault="00886D60" w:rsidP="00BF395F">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14:paraId="4482CCAA" w14:textId="77777777" w:rsidR="00A122D2" w:rsidRPr="009F6D2F" w:rsidRDefault="00A122D2" w:rsidP="002F1336">
            <w:pPr>
              <w:rPr>
                <w:rFonts w:ascii="Arial" w:hAnsi="Arial" w:cs="Arial"/>
                <w:color w:val="0070C0"/>
                <w:sz w:val="18"/>
                <w:szCs w:val="18"/>
                <w:lang w:eastAsia="pl-PL"/>
              </w:rPr>
            </w:pPr>
          </w:p>
        </w:tc>
        <w:tc>
          <w:tcPr>
            <w:tcW w:w="3543" w:type="dxa"/>
            <w:vMerge/>
          </w:tcPr>
          <w:p w14:paraId="68F2687A" w14:textId="77777777" w:rsidR="00A122D2" w:rsidRPr="009F6D2F" w:rsidRDefault="00A122D2" w:rsidP="002F1336">
            <w:pPr>
              <w:rPr>
                <w:rFonts w:ascii="Arial" w:hAnsi="Arial" w:cs="Arial"/>
                <w:color w:val="0070C0"/>
                <w:sz w:val="18"/>
                <w:szCs w:val="18"/>
              </w:rPr>
            </w:pPr>
          </w:p>
        </w:tc>
      </w:tr>
      <w:tr w:rsidR="00A122D2" w:rsidRPr="009F6D2F" w14:paraId="1FF5EF97" w14:textId="77777777" w:rsidTr="00BF395F">
        <w:tc>
          <w:tcPr>
            <w:tcW w:w="2972" w:type="dxa"/>
          </w:tcPr>
          <w:p w14:paraId="0C97D565" w14:textId="77777777"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14:paraId="37E22E54" w14:textId="6C2306EA" w:rsidR="00A122D2" w:rsidRPr="00886D60" w:rsidRDefault="00886D60" w:rsidP="00BF395F">
            <w:pPr>
              <w:rPr>
                <w:rFonts w:ascii="Arial" w:hAnsi="Arial" w:cs="Arial"/>
                <w:color w:val="0070C0"/>
                <w:sz w:val="18"/>
                <w:szCs w:val="18"/>
                <w:lang w:eastAsia="pl-PL"/>
              </w:rPr>
            </w:pPr>
            <w:r w:rsidRPr="00886D60">
              <w:rPr>
                <w:rFonts w:ascii="Arial" w:hAnsi="Arial" w:cs="Arial"/>
                <w:sz w:val="18"/>
                <w:szCs w:val="18"/>
              </w:rPr>
              <w:t>06</w:t>
            </w:r>
            <w:r w:rsidR="009A1885" w:rsidRPr="00886D60">
              <w:rPr>
                <w:rFonts w:ascii="Arial" w:hAnsi="Arial" w:cs="Arial"/>
                <w:sz w:val="18"/>
                <w:szCs w:val="18"/>
              </w:rPr>
              <w:t xml:space="preserve"> – </w:t>
            </w:r>
            <w:r w:rsidRPr="00886D60">
              <w:rPr>
                <w:rFonts w:ascii="Arial" w:hAnsi="Arial" w:cs="Arial"/>
                <w:sz w:val="18"/>
                <w:szCs w:val="18"/>
              </w:rPr>
              <w:t>2021</w:t>
            </w:r>
          </w:p>
        </w:tc>
        <w:tc>
          <w:tcPr>
            <w:tcW w:w="1843" w:type="dxa"/>
          </w:tcPr>
          <w:p w14:paraId="7B180D8D" w14:textId="77777777" w:rsidR="00A122D2" w:rsidRPr="009F6D2F" w:rsidRDefault="00A122D2" w:rsidP="002F1336">
            <w:pPr>
              <w:rPr>
                <w:rFonts w:ascii="Arial" w:hAnsi="Arial" w:cs="Arial"/>
                <w:color w:val="0070C0"/>
                <w:sz w:val="18"/>
                <w:szCs w:val="18"/>
                <w:lang w:eastAsia="pl-PL"/>
              </w:rPr>
            </w:pPr>
          </w:p>
        </w:tc>
        <w:tc>
          <w:tcPr>
            <w:tcW w:w="3543" w:type="dxa"/>
            <w:vMerge/>
          </w:tcPr>
          <w:p w14:paraId="64CCCD89" w14:textId="77777777" w:rsidR="00A122D2" w:rsidRPr="009F6D2F" w:rsidRDefault="00A122D2" w:rsidP="002F1336">
            <w:pPr>
              <w:rPr>
                <w:rFonts w:ascii="Arial" w:hAnsi="Arial" w:cs="Arial"/>
                <w:color w:val="0070C0"/>
                <w:sz w:val="18"/>
                <w:szCs w:val="18"/>
              </w:rPr>
            </w:pPr>
          </w:p>
        </w:tc>
      </w:tr>
      <w:tr w:rsidR="00A122D2" w:rsidRPr="009F6D2F" w14:paraId="6263153A" w14:textId="77777777" w:rsidTr="00E2331D">
        <w:trPr>
          <w:trHeight w:val="2606"/>
        </w:trPr>
        <w:tc>
          <w:tcPr>
            <w:tcW w:w="2972" w:type="dxa"/>
          </w:tcPr>
          <w:p w14:paraId="38F54022" w14:textId="77777777"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ATP - zapewniający zaawansowaną ochronę stacji roboczych i sieci korporacyjnej, umożliwiający szybsze wykrywanie ataków przez agregację informacji z określonych obszarów, identyfikację zagrożeń, priorytetyzację alertów o systemach wymagających pilnej reakcji oraz przywracanie sprawności i usuwanie skutków ataku</w:t>
            </w:r>
            <w:r>
              <w:rPr>
                <w:rFonts w:ascii="Arial" w:hAnsi="Arial" w:cs="Arial"/>
                <w:sz w:val="18"/>
                <w:szCs w:val="18"/>
              </w:rPr>
              <w:t>.</w:t>
            </w:r>
          </w:p>
        </w:tc>
        <w:tc>
          <w:tcPr>
            <w:tcW w:w="1276" w:type="dxa"/>
          </w:tcPr>
          <w:p w14:paraId="33AA2EBF" w14:textId="356AE0A0" w:rsidR="00A122D2" w:rsidRPr="00886D60" w:rsidRDefault="00EB5A7C" w:rsidP="002F1336">
            <w:pPr>
              <w:rPr>
                <w:rFonts w:ascii="Arial" w:hAnsi="Arial" w:cs="Arial"/>
                <w:color w:val="0070C0"/>
                <w:sz w:val="18"/>
                <w:szCs w:val="18"/>
                <w:lang w:eastAsia="pl-PL"/>
              </w:rPr>
            </w:pPr>
            <w:r w:rsidRPr="00886D60">
              <w:rPr>
                <w:rFonts w:ascii="Arial" w:hAnsi="Arial" w:cs="Arial"/>
                <w:sz w:val="18"/>
                <w:szCs w:val="18"/>
              </w:rPr>
              <w:t>06</w:t>
            </w:r>
            <w:r w:rsidR="009A1885" w:rsidRPr="00886D60">
              <w:rPr>
                <w:rFonts w:ascii="Arial" w:hAnsi="Arial" w:cs="Arial"/>
                <w:sz w:val="18"/>
                <w:szCs w:val="18"/>
              </w:rPr>
              <w:t xml:space="preserve"> – 2021</w:t>
            </w:r>
          </w:p>
        </w:tc>
        <w:tc>
          <w:tcPr>
            <w:tcW w:w="1843" w:type="dxa"/>
          </w:tcPr>
          <w:p w14:paraId="22D0196C" w14:textId="77777777" w:rsidR="00A122D2" w:rsidRPr="009F6D2F" w:rsidRDefault="00A122D2" w:rsidP="002F1336">
            <w:pPr>
              <w:rPr>
                <w:rFonts w:ascii="Arial" w:hAnsi="Arial" w:cs="Arial"/>
                <w:color w:val="0070C0"/>
                <w:sz w:val="18"/>
                <w:szCs w:val="18"/>
                <w:lang w:eastAsia="pl-PL"/>
              </w:rPr>
            </w:pPr>
          </w:p>
        </w:tc>
        <w:tc>
          <w:tcPr>
            <w:tcW w:w="3543" w:type="dxa"/>
            <w:vMerge/>
          </w:tcPr>
          <w:p w14:paraId="246C1B61" w14:textId="77777777" w:rsidR="00A122D2" w:rsidRPr="009F6D2F" w:rsidRDefault="00A122D2" w:rsidP="002F1336">
            <w:pPr>
              <w:rPr>
                <w:rFonts w:ascii="Arial" w:hAnsi="Arial" w:cs="Arial"/>
                <w:color w:val="0070C0"/>
                <w:sz w:val="18"/>
                <w:szCs w:val="18"/>
              </w:rPr>
            </w:pPr>
          </w:p>
        </w:tc>
      </w:tr>
      <w:tr w:rsidR="002F1336" w:rsidRPr="009F6D2F" w14:paraId="07C5628C" w14:textId="77777777" w:rsidTr="00E2331D">
        <w:tc>
          <w:tcPr>
            <w:tcW w:w="2972" w:type="dxa"/>
          </w:tcPr>
          <w:p w14:paraId="0E324CBB" w14:textId="77777777" w:rsidR="002F1336" w:rsidRPr="009F6D2F" w:rsidRDefault="002F1336" w:rsidP="002F1336">
            <w:pPr>
              <w:rPr>
                <w:rFonts w:ascii="Arial" w:hAnsi="Arial" w:cs="Arial"/>
                <w:color w:val="0070C0"/>
                <w:sz w:val="18"/>
                <w:szCs w:val="18"/>
              </w:rPr>
            </w:pPr>
            <w:r w:rsidRPr="009F6D2F">
              <w:rPr>
                <w:rFonts w:ascii="Arial" w:hAnsi="Arial" w:cs="Arial"/>
                <w:sz w:val="18"/>
                <w:szCs w:val="18"/>
              </w:rPr>
              <w:t>Dokumenty tworzące System Zarządzania Bezpieczeństwem Informacji</w:t>
            </w:r>
            <w:r w:rsidR="00483AFD">
              <w:rPr>
                <w:rFonts w:ascii="Arial" w:hAnsi="Arial" w:cs="Arial"/>
                <w:sz w:val="18"/>
                <w:szCs w:val="18"/>
              </w:rPr>
              <w:t>.</w:t>
            </w:r>
          </w:p>
        </w:tc>
        <w:tc>
          <w:tcPr>
            <w:tcW w:w="1276" w:type="dxa"/>
          </w:tcPr>
          <w:p w14:paraId="3AB662AC" w14:textId="69B33EA2" w:rsidR="002F1336" w:rsidRPr="00886D60" w:rsidRDefault="00886D60" w:rsidP="002F1336">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01F437EE" w14:textId="77777777" w:rsidR="002F1336" w:rsidRPr="009F6D2F" w:rsidRDefault="002F1336" w:rsidP="002F1336">
            <w:pPr>
              <w:rPr>
                <w:rFonts w:ascii="Arial" w:hAnsi="Arial" w:cs="Arial"/>
                <w:color w:val="0070C0"/>
                <w:sz w:val="18"/>
                <w:szCs w:val="18"/>
                <w:lang w:eastAsia="pl-PL"/>
              </w:rPr>
            </w:pPr>
          </w:p>
        </w:tc>
        <w:tc>
          <w:tcPr>
            <w:tcW w:w="3543" w:type="dxa"/>
          </w:tcPr>
          <w:p w14:paraId="111257F7" w14:textId="77777777" w:rsidR="002F1336" w:rsidRPr="009F6D2F" w:rsidRDefault="002F1336" w:rsidP="002F1336">
            <w:pPr>
              <w:rPr>
                <w:rFonts w:ascii="Arial" w:hAnsi="Arial" w:cs="Arial"/>
                <w:color w:val="0070C0"/>
                <w:sz w:val="18"/>
                <w:szCs w:val="18"/>
              </w:rPr>
            </w:pPr>
          </w:p>
        </w:tc>
      </w:tr>
      <w:tr w:rsidR="00A122D2" w:rsidRPr="009F6D2F" w14:paraId="5FE1A420" w14:textId="77777777" w:rsidTr="00E2331D">
        <w:trPr>
          <w:trHeight w:val="751"/>
        </w:trPr>
        <w:tc>
          <w:tcPr>
            <w:tcW w:w="2972" w:type="dxa"/>
          </w:tcPr>
          <w:p w14:paraId="3A6247BD" w14:textId="77777777"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14:paraId="6766DDF2" w14:textId="374A58C1" w:rsidR="00A122D2" w:rsidRPr="00886D60" w:rsidRDefault="00886D60" w:rsidP="002F1336">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705D8745" w14:textId="77777777" w:rsidR="00A122D2" w:rsidRPr="009F6D2F" w:rsidRDefault="00A122D2" w:rsidP="002F1336">
            <w:pPr>
              <w:rPr>
                <w:rFonts w:ascii="Arial" w:hAnsi="Arial" w:cs="Arial"/>
                <w:color w:val="0070C0"/>
                <w:sz w:val="18"/>
                <w:szCs w:val="18"/>
                <w:lang w:eastAsia="pl-PL"/>
              </w:rPr>
            </w:pPr>
          </w:p>
        </w:tc>
        <w:tc>
          <w:tcPr>
            <w:tcW w:w="3543" w:type="dxa"/>
            <w:vMerge w:val="restart"/>
          </w:tcPr>
          <w:p w14:paraId="4F1B53A8" w14:textId="77777777" w:rsidR="00A122D2" w:rsidRDefault="00A122D2" w:rsidP="005B3731">
            <w:pPr>
              <w:jc w:val="both"/>
              <w:rPr>
                <w:rFonts w:ascii="Arial" w:hAnsi="Arial" w:cs="Arial"/>
                <w:sz w:val="18"/>
                <w:szCs w:val="18"/>
              </w:rPr>
            </w:pPr>
            <w:r w:rsidRPr="005B3731">
              <w:rPr>
                <w:rFonts w:ascii="Arial" w:hAnsi="Arial" w:cs="Arial"/>
                <w:sz w:val="18"/>
                <w:szCs w:val="18"/>
              </w:rPr>
              <w:t xml:space="preserve">Operacyjne Centrum Bezpieczeństwa utworzone w ramach projektu KSZBI </w:t>
            </w:r>
            <w:r w:rsidR="005638AE" w:rsidRPr="005638AE">
              <w:rPr>
                <w:rFonts w:ascii="Arial" w:hAnsi="Arial" w:cs="Arial"/>
                <w:sz w:val="18"/>
                <w:szCs w:val="18"/>
              </w:rPr>
              <w:t>(w tym również wdrożenie SIEM)</w:t>
            </w:r>
            <w:r w:rsidR="005638AE">
              <w:rPr>
                <w:rFonts w:ascii="Arial" w:hAnsi="Arial" w:cs="Arial"/>
                <w:sz w:val="18"/>
                <w:szCs w:val="18"/>
              </w:rPr>
              <w:t xml:space="preserve"> </w:t>
            </w:r>
            <w:r w:rsidRPr="005B3731">
              <w:rPr>
                <w:rFonts w:ascii="Arial" w:hAnsi="Arial" w:cs="Arial"/>
                <w:sz w:val="18"/>
                <w:szCs w:val="18"/>
              </w:rPr>
              <w:t xml:space="preserve">będzie </w:t>
            </w:r>
            <w:r w:rsidR="00400EFC">
              <w:rPr>
                <w:rFonts w:ascii="Arial" w:hAnsi="Arial" w:cs="Arial"/>
                <w:sz w:val="18"/>
                <w:szCs w:val="18"/>
              </w:rPr>
              <w:t xml:space="preserve">miało wpływ na podniesienie poziomu </w:t>
            </w:r>
            <w:r w:rsidRPr="005B3731">
              <w:rPr>
                <w:rFonts w:ascii="Arial" w:hAnsi="Arial" w:cs="Arial"/>
                <w:sz w:val="18"/>
                <w:szCs w:val="18"/>
              </w:rPr>
              <w:t>bezpieczeństw</w:t>
            </w:r>
            <w:r w:rsidR="00400EFC">
              <w:rPr>
                <w:rFonts w:ascii="Arial" w:hAnsi="Arial" w:cs="Arial"/>
                <w:sz w:val="18"/>
                <w:szCs w:val="18"/>
              </w:rPr>
              <w:t>a</w:t>
            </w:r>
            <w:r w:rsidRPr="005B3731">
              <w:rPr>
                <w:rFonts w:ascii="Arial" w:hAnsi="Arial" w:cs="Arial"/>
                <w:sz w:val="18"/>
                <w:szCs w:val="18"/>
              </w:rPr>
              <w:t xml:space="preserve"> przepływu zasobów danych SISP i SISP-2</w:t>
            </w:r>
            <w:r>
              <w:rPr>
                <w:rFonts w:ascii="Arial" w:hAnsi="Arial" w:cs="Arial"/>
                <w:sz w:val="18"/>
                <w:szCs w:val="18"/>
              </w:rPr>
              <w:t xml:space="preserve"> </w:t>
            </w:r>
            <w:r w:rsidRPr="005B3731">
              <w:rPr>
                <w:rFonts w:ascii="Arial" w:hAnsi="Arial" w:cs="Arial"/>
                <w:sz w:val="18"/>
                <w:szCs w:val="18"/>
              </w:rPr>
              <w:t xml:space="preserve"> oraz systemów im podległych. Projekt KSZBI nie będzie więc powielał działań zrealizowanych w ramach projektów GUS lecz uzupełni ich zakres o elementy zapewniające </w:t>
            </w:r>
            <w:r w:rsidR="00AB6586">
              <w:rPr>
                <w:rFonts w:ascii="Arial" w:hAnsi="Arial" w:cs="Arial"/>
                <w:sz w:val="18"/>
                <w:szCs w:val="18"/>
              </w:rPr>
              <w:t xml:space="preserve">ich </w:t>
            </w:r>
            <w:r w:rsidRPr="005B3731">
              <w:rPr>
                <w:rFonts w:ascii="Arial" w:hAnsi="Arial" w:cs="Arial"/>
                <w:sz w:val="18"/>
                <w:szCs w:val="18"/>
              </w:rPr>
              <w:t>bezpieczeństwo</w:t>
            </w:r>
            <w:r w:rsidR="00AB6586">
              <w:rPr>
                <w:rFonts w:ascii="Arial" w:hAnsi="Arial" w:cs="Arial"/>
                <w:sz w:val="18"/>
                <w:szCs w:val="18"/>
              </w:rPr>
              <w:t>.</w:t>
            </w:r>
          </w:p>
          <w:p w14:paraId="66653BF4" w14:textId="77777777" w:rsidR="00F375CC" w:rsidRPr="005B3731" w:rsidRDefault="00F375CC" w:rsidP="005B3731">
            <w:pPr>
              <w:jc w:val="both"/>
              <w:rPr>
                <w:rFonts w:ascii="Arial" w:hAnsi="Arial" w:cs="Arial"/>
                <w:sz w:val="18"/>
                <w:szCs w:val="18"/>
              </w:rPr>
            </w:pPr>
          </w:p>
          <w:p w14:paraId="54B9FD5F" w14:textId="77777777" w:rsidR="007347A2" w:rsidRDefault="00A122D2" w:rsidP="0099356B">
            <w:pPr>
              <w:jc w:val="both"/>
              <w:rPr>
                <w:rFonts w:ascii="Arial" w:hAnsi="Arial" w:cs="Arial"/>
                <w:sz w:val="18"/>
                <w:szCs w:val="18"/>
              </w:rPr>
            </w:pPr>
            <w:r w:rsidRPr="009F6D2F">
              <w:rPr>
                <w:rFonts w:ascii="Arial" w:hAnsi="Arial" w:cs="Arial"/>
                <w:sz w:val="18"/>
                <w:szCs w:val="18"/>
              </w:rPr>
              <w:t xml:space="preserve">Wdrożenie SOC w ramach projektu KSZBI będzie komplementarne </w:t>
            </w:r>
            <w:r w:rsidR="005638AE">
              <w:rPr>
                <w:rFonts w:ascii="Arial" w:hAnsi="Arial" w:cs="Arial"/>
                <w:sz w:val="18"/>
                <w:szCs w:val="18"/>
              </w:rPr>
              <w:t xml:space="preserve">również </w:t>
            </w:r>
            <w:r w:rsidRPr="009F6D2F">
              <w:rPr>
                <w:rFonts w:ascii="Arial" w:hAnsi="Arial" w:cs="Arial"/>
                <w:sz w:val="18"/>
                <w:szCs w:val="18"/>
              </w:rPr>
              <w:t xml:space="preserve">z </w:t>
            </w:r>
            <w:r w:rsidRPr="009F6D2F">
              <w:rPr>
                <w:rFonts w:ascii="Arial" w:hAnsi="Arial" w:cs="Arial"/>
                <w:sz w:val="18"/>
                <w:szCs w:val="18"/>
              </w:rPr>
              <w:lastRenderedPageBreak/>
              <w:t>obecnie planowanym projektem Ministerstwa Cyfryzacji</w:t>
            </w:r>
            <w:r w:rsidR="00B93335">
              <w:rPr>
                <w:rFonts w:ascii="Arial" w:hAnsi="Arial" w:cs="Arial"/>
                <w:sz w:val="18"/>
                <w:szCs w:val="18"/>
              </w:rPr>
              <w:t xml:space="preserve"> - Wspólna Infrastruktura</w:t>
            </w:r>
            <w:r w:rsidR="00B93335" w:rsidRPr="00B93335">
              <w:rPr>
                <w:rFonts w:ascii="Arial" w:hAnsi="Arial" w:cs="Arial"/>
                <w:sz w:val="18"/>
                <w:szCs w:val="18"/>
              </w:rPr>
              <w:t xml:space="preserve"> Informacyjn</w:t>
            </w:r>
            <w:r w:rsidR="00B93335">
              <w:rPr>
                <w:rFonts w:ascii="Arial" w:hAnsi="Arial" w:cs="Arial"/>
                <w:sz w:val="18"/>
                <w:szCs w:val="18"/>
              </w:rPr>
              <w:t>a</w:t>
            </w:r>
            <w:r w:rsidR="00B93335" w:rsidRPr="00B93335">
              <w:rPr>
                <w:rFonts w:ascii="Arial" w:hAnsi="Arial" w:cs="Arial"/>
                <w:sz w:val="18"/>
                <w:szCs w:val="18"/>
              </w:rPr>
              <w:t xml:space="preserve"> Państwa </w:t>
            </w:r>
            <w:r w:rsidR="00B93335">
              <w:rPr>
                <w:rFonts w:ascii="Arial" w:hAnsi="Arial" w:cs="Arial"/>
                <w:sz w:val="18"/>
                <w:szCs w:val="18"/>
              </w:rPr>
              <w:t>(WIIP)</w:t>
            </w:r>
            <w:r w:rsidRPr="009F6D2F">
              <w:rPr>
                <w:rFonts w:ascii="Arial" w:hAnsi="Arial" w:cs="Arial"/>
                <w:sz w:val="18"/>
                <w:szCs w:val="18"/>
              </w:rPr>
              <w:t>. Wdrożenie KSZBI z budową własnego SOC wpisuje się we Wspólną Infra</w:t>
            </w:r>
            <w:r w:rsidR="00C87389">
              <w:rPr>
                <w:rFonts w:ascii="Arial" w:hAnsi="Arial" w:cs="Arial"/>
                <w:sz w:val="18"/>
                <w:szCs w:val="18"/>
              </w:rPr>
              <w:t>strukturę Informacyjną Państwa.</w:t>
            </w:r>
          </w:p>
          <w:p w14:paraId="7E39F768" w14:textId="77777777" w:rsidR="00A025C7" w:rsidRPr="00256902" w:rsidRDefault="007347A2" w:rsidP="0099356B">
            <w:pPr>
              <w:jc w:val="both"/>
              <w:rPr>
                <w:rFonts w:ascii="Arial" w:hAnsi="Arial" w:cs="Arial"/>
                <w:sz w:val="18"/>
                <w:szCs w:val="18"/>
              </w:rPr>
            </w:pPr>
            <w:r w:rsidRPr="00256902">
              <w:rPr>
                <w:rFonts w:ascii="Arial" w:hAnsi="Arial" w:cs="Arial"/>
                <w:sz w:val="18"/>
                <w:szCs w:val="18"/>
              </w:rPr>
              <w:t>GUS dzięki produktom KSZBI oraz współpracy</w:t>
            </w:r>
            <w:r w:rsidR="00AC4F16" w:rsidRPr="00256902">
              <w:rPr>
                <w:rFonts w:ascii="Arial" w:hAnsi="Arial" w:cs="Arial"/>
                <w:sz w:val="18"/>
                <w:szCs w:val="18"/>
              </w:rPr>
              <w:t xml:space="preserve"> </w:t>
            </w:r>
            <w:r w:rsidRPr="00256902">
              <w:rPr>
                <w:rFonts w:ascii="Arial" w:hAnsi="Arial" w:cs="Arial"/>
                <w:sz w:val="18"/>
                <w:szCs w:val="18"/>
              </w:rPr>
              <w:t xml:space="preserve">z </w:t>
            </w:r>
            <w:r w:rsidR="00A025C7" w:rsidRPr="00256902">
              <w:rPr>
                <w:rFonts w:ascii="Arial" w:hAnsi="Arial" w:cs="Arial"/>
                <w:sz w:val="18"/>
                <w:szCs w:val="18"/>
              </w:rPr>
              <w:t>C</w:t>
            </w:r>
            <w:r w:rsidR="00AC4F16" w:rsidRPr="00256902">
              <w:rPr>
                <w:rFonts w:ascii="Arial" w:hAnsi="Arial" w:cs="Arial"/>
                <w:sz w:val="18"/>
                <w:szCs w:val="18"/>
              </w:rPr>
              <w:t xml:space="preserve">OI </w:t>
            </w:r>
            <w:r w:rsidR="00A025C7" w:rsidRPr="00256902">
              <w:rPr>
                <w:rFonts w:ascii="Arial" w:hAnsi="Arial" w:cs="Arial"/>
                <w:sz w:val="18"/>
                <w:szCs w:val="18"/>
              </w:rPr>
              <w:t>i NASK PIB, który  będzie wsparciem dla II i III linii SOC w zakresie usług infrastrukturalnych</w:t>
            </w:r>
            <w:r w:rsidR="00256902" w:rsidRPr="00256902">
              <w:rPr>
                <w:rFonts w:ascii="Arial" w:hAnsi="Arial" w:cs="Arial"/>
                <w:sz w:val="18"/>
                <w:szCs w:val="18"/>
              </w:rPr>
              <w:t>,</w:t>
            </w:r>
            <w:r w:rsidR="00A025C7" w:rsidRPr="00256902">
              <w:rPr>
                <w:rFonts w:ascii="Arial" w:hAnsi="Arial" w:cs="Arial"/>
                <w:sz w:val="18"/>
                <w:szCs w:val="18"/>
              </w:rPr>
              <w:t xml:space="preserve"> stanie się ważnym elementem infrastruktury WIIP</w:t>
            </w:r>
            <w:r w:rsidR="00256902" w:rsidRPr="00256902">
              <w:rPr>
                <w:rFonts w:ascii="Arial" w:hAnsi="Arial" w:cs="Arial"/>
                <w:sz w:val="18"/>
                <w:szCs w:val="18"/>
              </w:rPr>
              <w:t>.</w:t>
            </w:r>
          </w:p>
          <w:p w14:paraId="10D53F14" w14:textId="77777777" w:rsidR="00A122D2" w:rsidRPr="00BF395F" w:rsidRDefault="00BF395F" w:rsidP="0099356B">
            <w:pPr>
              <w:jc w:val="both"/>
              <w:rPr>
                <w:rFonts w:ascii="Arial" w:hAnsi="Arial" w:cs="Arial"/>
                <w:sz w:val="18"/>
                <w:szCs w:val="18"/>
              </w:rPr>
            </w:pPr>
            <w:r>
              <w:rPr>
                <w:rFonts w:ascii="Arial" w:hAnsi="Arial" w:cs="Arial"/>
                <w:sz w:val="18"/>
                <w:szCs w:val="18"/>
              </w:rPr>
              <w:t>Status integracji: planowana</w:t>
            </w:r>
          </w:p>
        </w:tc>
      </w:tr>
      <w:tr w:rsidR="00A122D2" w:rsidRPr="009F6D2F" w14:paraId="0B47B5D5" w14:textId="77777777" w:rsidTr="00E2331D">
        <w:tc>
          <w:tcPr>
            <w:tcW w:w="2972" w:type="dxa"/>
          </w:tcPr>
          <w:p w14:paraId="6E6252DD" w14:textId="77777777" w:rsidR="00A122D2" w:rsidRPr="009F6D2F" w:rsidRDefault="00A122D2" w:rsidP="002F1336">
            <w:pPr>
              <w:rPr>
                <w:rFonts w:ascii="Arial" w:hAnsi="Arial" w:cs="Arial"/>
                <w:color w:val="0070C0"/>
                <w:sz w:val="18"/>
                <w:szCs w:val="18"/>
              </w:rPr>
            </w:pPr>
            <w:r w:rsidRPr="009F6D2F">
              <w:rPr>
                <w:rFonts w:ascii="Arial" w:hAnsi="Arial" w:cs="Arial"/>
                <w:sz w:val="18"/>
                <w:szCs w:val="18"/>
              </w:rPr>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14:paraId="4D11D00F" w14:textId="08930009" w:rsidR="00A122D2" w:rsidRPr="00886D60" w:rsidRDefault="00886D60" w:rsidP="002F1336">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3F67BF51" w14:textId="77777777" w:rsidR="00A122D2" w:rsidRPr="009F6D2F" w:rsidRDefault="00A122D2" w:rsidP="002F1336">
            <w:pPr>
              <w:rPr>
                <w:rFonts w:ascii="Arial" w:hAnsi="Arial" w:cs="Arial"/>
                <w:color w:val="0070C0"/>
                <w:sz w:val="18"/>
                <w:szCs w:val="18"/>
                <w:lang w:eastAsia="pl-PL"/>
              </w:rPr>
            </w:pPr>
          </w:p>
        </w:tc>
        <w:tc>
          <w:tcPr>
            <w:tcW w:w="3543" w:type="dxa"/>
            <w:vMerge/>
          </w:tcPr>
          <w:p w14:paraId="0A236789" w14:textId="77777777" w:rsidR="00A122D2" w:rsidRPr="009F6D2F" w:rsidRDefault="00A122D2" w:rsidP="0099356B">
            <w:pPr>
              <w:jc w:val="both"/>
              <w:rPr>
                <w:rFonts w:ascii="Arial" w:hAnsi="Arial" w:cs="Arial"/>
                <w:color w:val="0070C0"/>
                <w:sz w:val="18"/>
                <w:szCs w:val="18"/>
              </w:rPr>
            </w:pPr>
          </w:p>
        </w:tc>
      </w:tr>
    </w:tbl>
    <w:p w14:paraId="591775A8" w14:textId="77777777" w:rsidR="00BB059E" w:rsidRPr="00886D60" w:rsidRDefault="00BB059E" w:rsidP="006F5A3D">
      <w:pPr>
        <w:pStyle w:val="Akapitzlist"/>
        <w:numPr>
          <w:ilvl w:val="0"/>
          <w:numId w:val="19"/>
        </w:numPr>
        <w:spacing w:before="360" w:after="120"/>
        <w:rPr>
          <w:rFonts w:ascii="Arial" w:hAnsi="Arial" w:cs="Arial"/>
          <w:sz w:val="18"/>
          <w:szCs w:val="18"/>
        </w:rPr>
      </w:pPr>
      <w:r w:rsidRPr="00886D60">
        <w:rPr>
          <w:rStyle w:val="Nagwek2Znak"/>
          <w:rFonts w:ascii="Arial" w:hAnsi="Arial" w:cs="Arial"/>
          <w:b/>
          <w:color w:val="auto"/>
          <w:sz w:val="18"/>
          <w:szCs w:val="18"/>
        </w:rPr>
        <w:t>R</w:t>
      </w:r>
      <w:r w:rsidR="00304D04" w:rsidRPr="00886D60">
        <w:rPr>
          <w:rStyle w:val="Nagwek2Znak"/>
          <w:rFonts w:ascii="Arial" w:hAnsi="Arial" w:cs="Arial"/>
          <w:b/>
          <w:color w:val="auto"/>
          <w:sz w:val="18"/>
          <w:szCs w:val="18"/>
        </w:rPr>
        <w:t>yzyka</w:t>
      </w:r>
      <w:r w:rsidR="00B41415" w:rsidRPr="00886D60">
        <w:rPr>
          <w:rStyle w:val="Nagwek3Znak"/>
          <w:rFonts w:ascii="Arial" w:hAnsi="Arial" w:cs="Arial"/>
          <w:b/>
          <w:color w:val="auto"/>
          <w:sz w:val="18"/>
          <w:szCs w:val="18"/>
        </w:rPr>
        <w:t xml:space="preserve"> </w:t>
      </w:r>
      <w:r w:rsidR="00DA34DF" w:rsidRPr="00886D60">
        <w:rPr>
          <w:rFonts w:ascii="Arial" w:hAnsi="Arial" w:cs="Arial"/>
          <w:color w:val="0070C0"/>
          <w:sz w:val="18"/>
          <w:szCs w:val="18"/>
        </w:rPr>
        <w:t xml:space="preserve"> </w:t>
      </w:r>
      <w:r w:rsidR="00B41415" w:rsidRPr="00886D60">
        <w:rPr>
          <w:rFonts w:ascii="Arial" w:hAnsi="Arial" w:cs="Arial"/>
          <w:color w:val="0070C0"/>
          <w:sz w:val="18"/>
          <w:szCs w:val="18"/>
        </w:rPr>
        <w:t xml:space="preserve"> </w:t>
      </w:r>
    </w:p>
    <w:p w14:paraId="7409A098" w14:textId="77777777"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559"/>
        <w:gridCol w:w="1186"/>
        <w:gridCol w:w="3691"/>
      </w:tblGrid>
      <w:tr w:rsidR="007E0B70" w:rsidRPr="009F6D2F" w14:paraId="165AC195" w14:textId="77777777" w:rsidTr="00BE210D">
        <w:trPr>
          <w:trHeight w:val="724"/>
        </w:trPr>
        <w:tc>
          <w:tcPr>
            <w:tcW w:w="3261" w:type="dxa"/>
            <w:shd w:val="clear" w:color="auto" w:fill="D9D9D9" w:themeFill="background1" w:themeFillShade="D9"/>
            <w:vAlign w:val="center"/>
          </w:tcPr>
          <w:p w14:paraId="3062DD02" w14:textId="77777777"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tcPr>
          <w:p w14:paraId="5BC55DE2"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186" w:type="dxa"/>
            <w:shd w:val="clear" w:color="auto" w:fill="D9D9D9" w:themeFill="background1" w:themeFillShade="D9"/>
          </w:tcPr>
          <w:p w14:paraId="3DAF7DDE" w14:textId="77777777"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14:paraId="107C9487"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14:paraId="531F4858" w14:textId="77777777" w:rsidTr="00BE210D">
        <w:trPr>
          <w:trHeight w:val="724"/>
        </w:trPr>
        <w:tc>
          <w:tcPr>
            <w:tcW w:w="3261" w:type="dxa"/>
            <w:shd w:val="clear" w:color="auto" w:fill="auto"/>
            <w:vAlign w:val="center"/>
          </w:tcPr>
          <w:p w14:paraId="32C12FFF" w14:textId="77777777" w:rsidR="00CC4191" w:rsidRPr="00497203" w:rsidRDefault="00CC4191" w:rsidP="00BF395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p>
          <w:p w14:paraId="385B0C53" w14:textId="77777777" w:rsidR="001D560C" w:rsidRPr="00497203" w:rsidRDefault="001D560C" w:rsidP="00BF395F">
            <w:pPr>
              <w:spacing w:after="0" w:line="240" w:lineRule="auto"/>
              <w:rPr>
                <w:rFonts w:ascii="Arial" w:hAnsi="Arial" w:cs="Arial"/>
                <w:color w:val="000000" w:themeColor="text1"/>
                <w:sz w:val="18"/>
                <w:szCs w:val="18"/>
              </w:rPr>
            </w:pPr>
          </w:p>
          <w:p w14:paraId="17F498F5" w14:textId="77777777" w:rsidR="001D560C" w:rsidRPr="00497203" w:rsidRDefault="001D560C" w:rsidP="00BF395F">
            <w:pPr>
              <w:spacing w:after="0" w:line="240" w:lineRule="auto"/>
              <w:rPr>
                <w:rFonts w:ascii="Arial" w:hAnsi="Arial" w:cs="Arial"/>
                <w:color w:val="000000" w:themeColor="text1"/>
                <w:sz w:val="18"/>
                <w:szCs w:val="18"/>
              </w:rPr>
            </w:pPr>
          </w:p>
        </w:tc>
        <w:tc>
          <w:tcPr>
            <w:tcW w:w="1559" w:type="dxa"/>
            <w:shd w:val="clear" w:color="auto" w:fill="FFFFFF"/>
            <w:vAlign w:val="center"/>
          </w:tcPr>
          <w:p w14:paraId="1D9CA973" w14:textId="77777777" w:rsidR="00CC4191" w:rsidRPr="00497203" w:rsidRDefault="00CC4191" w:rsidP="00BF395F">
            <w:pPr>
              <w:pStyle w:val="Legenda"/>
              <w:rPr>
                <w:rFonts w:ascii="Arial" w:eastAsia="Times New Roman" w:hAnsi="Arial" w:cs="Arial"/>
                <w:b w:val="0"/>
                <w:color w:val="000000" w:themeColor="text1"/>
                <w:sz w:val="18"/>
                <w:szCs w:val="18"/>
              </w:rPr>
            </w:pPr>
            <w:r w:rsidRPr="00497203">
              <w:rPr>
                <w:rFonts w:ascii="Arial" w:eastAsia="Times New Roman" w:hAnsi="Arial" w:cs="Arial"/>
                <w:b w:val="0"/>
                <w:color w:val="000000" w:themeColor="text1"/>
                <w:sz w:val="18"/>
                <w:szCs w:val="18"/>
              </w:rPr>
              <w:t>średnia</w:t>
            </w:r>
          </w:p>
        </w:tc>
        <w:tc>
          <w:tcPr>
            <w:tcW w:w="1186" w:type="dxa"/>
            <w:shd w:val="clear" w:color="auto" w:fill="FFFFFF"/>
            <w:vAlign w:val="center"/>
          </w:tcPr>
          <w:p w14:paraId="1E1D6E55" w14:textId="77777777" w:rsidR="00CC4191" w:rsidRPr="00497203" w:rsidRDefault="00CC4191" w:rsidP="00BF395F">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14:paraId="6A1E6647" w14:textId="77777777" w:rsidR="00CC4191" w:rsidRPr="00497203" w:rsidRDefault="00CC4191" w:rsidP="00BF395F">
            <w:pPr>
              <w:pStyle w:val="Legenda"/>
              <w:rPr>
                <w:rFonts w:ascii="Arial" w:hAnsi="Arial" w:cs="Arial"/>
                <w:b w:val="0"/>
                <w:color w:val="000000" w:themeColor="text1"/>
                <w:sz w:val="18"/>
                <w:szCs w:val="18"/>
              </w:rPr>
            </w:pPr>
            <w:r w:rsidRPr="00497203">
              <w:rPr>
                <w:rFonts w:ascii="Arial" w:hAnsi="Arial" w:cs="Arial"/>
                <w:b w:val="0"/>
                <w:color w:val="000000" w:themeColor="text1"/>
                <w:sz w:val="18"/>
                <w:szCs w:val="18"/>
              </w:rPr>
              <w:t>Pielęgnowanie modeli danych i procesów. Wprowadzanie do Projektu nowych osób</w:t>
            </w:r>
            <w:r w:rsidR="00C87389" w:rsidRPr="00497203">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14:paraId="2B46A2DD" w14:textId="77777777" w:rsidR="004D4B21" w:rsidRPr="00497203" w:rsidRDefault="00CC4191" w:rsidP="00BF395F">
            <w:pPr>
              <w:pStyle w:val="Legenda"/>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14:paraId="4FE2AF6F" w14:textId="77777777" w:rsidR="004D4B21" w:rsidRPr="00497203" w:rsidRDefault="005638AE" w:rsidP="00BF395F">
            <w:pPr>
              <w:pStyle w:val="Legenda"/>
              <w:rPr>
                <w:rFonts w:ascii="Arial" w:hAnsi="Arial" w:cs="Arial"/>
                <w:b w:val="0"/>
                <w:color w:val="000000" w:themeColor="text1"/>
                <w:sz w:val="18"/>
                <w:szCs w:val="18"/>
              </w:rPr>
            </w:pPr>
            <w:r w:rsidRPr="00497203">
              <w:rPr>
                <w:rFonts w:ascii="Arial" w:hAnsi="Arial" w:cs="Arial"/>
                <w:b w:val="0"/>
                <w:sz w:val="18"/>
                <w:szCs w:val="18"/>
              </w:rPr>
              <w:t>Podejmowane działania spowodują ograniczenie</w:t>
            </w:r>
            <w:r w:rsidR="004D4B21" w:rsidRPr="00497203">
              <w:rPr>
                <w:rFonts w:ascii="Arial" w:hAnsi="Arial" w:cs="Arial"/>
                <w:b w:val="0"/>
                <w:sz w:val="18"/>
                <w:szCs w:val="18"/>
              </w:rPr>
              <w:t xml:space="preserve"> </w:t>
            </w:r>
            <w:r w:rsidR="0099715F" w:rsidRPr="00497203">
              <w:rPr>
                <w:rFonts w:ascii="Arial" w:hAnsi="Arial" w:cs="Arial"/>
                <w:b w:val="0"/>
                <w:sz w:val="18"/>
                <w:szCs w:val="18"/>
              </w:rPr>
              <w:t>wystąpienia</w:t>
            </w:r>
            <w:r w:rsidR="004D4B21" w:rsidRPr="00497203">
              <w:rPr>
                <w:rFonts w:ascii="Arial" w:hAnsi="Arial" w:cs="Arial"/>
                <w:b w:val="0"/>
                <w:sz w:val="18"/>
                <w:szCs w:val="18"/>
              </w:rPr>
              <w:t xml:space="preserve"> nieterminowej </w:t>
            </w:r>
            <w:r w:rsidR="004D4B21" w:rsidRPr="00497203">
              <w:rPr>
                <w:rFonts w:ascii="Arial" w:hAnsi="Arial" w:cs="Arial"/>
                <w:b w:val="0"/>
                <w:color w:val="000000" w:themeColor="text1"/>
                <w:sz w:val="18"/>
                <w:szCs w:val="18"/>
              </w:rPr>
              <w:t xml:space="preserve">realizacji zadań w przypadku nagłego odejścia pracownika. </w:t>
            </w:r>
          </w:p>
          <w:p w14:paraId="4671032D" w14:textId="77777777" w:rsidR="001D560C" w:rsidRPr="00497203" w:rsidRDefault="001D560C" w:rsidP="00BF395F">
            <w:pPr>
              <w:rPr>
                <w:rFonts w:ascii="Arial" w:eastAsia="Arial Unicode MS" w:hAnsi="Arial" w:cs="Arial"/>
                <w:bCs/>
                <w:color w:val="000000" w:themeColor="text1"/>
                <w:kern w:val="1"/>
                <w:sz w:val="18"/>
                <w:szCs w:val="18"/>
              </w:rPr>
            </w:pPr>
            <w:r w:rsidRPr="00497203">
              <w:rPr>
                <w:rFonts w:ascii="Arial" w:eastAsia="Arial Unicode MS" w:hAnsi="Arial" w:cs="Arial"/>
                <w:bCs/>
                <w:color w:val="000000" w:themeColor="text1"/>
                <w:kern w:val="1"/>
                <w:sz w:val="18"/>
                <w:szCs w:val="18"/>
              </w:rPr>
              <w:t>Po ponownym oszacowaniu stwierdzono, że w dalszym ciągu istnieje znikome prawdopodobieństwo wystąpienia ryzyka.</w:t>
            </w:r>
          </w:p>
          <w:p w14:paraId="7893A49E" w14:textId="77777777" w:rsidR="001D560C" w:rsidRPr="00497203" w:rsidRDefault="001D560C" w:rsidP="00BF395F">
            <w:pPr>
              <w:pStyle w:val="Legenda"/>
            </w:pPr>
            <w:r w:rsidRPr="00497203">
              <w:rPr>
                <w:rFonts w:ascii="Arial" w:hAnsi="Arial" w:cs="Arial"/>
                <w:b w:val="0"/>
                <w:color w:val="000000" w:themeColor="text1"/>
                <w:sz w:val="18"/>
                <w:szCs w:val="18"/>
              </w:rPr>
              <w:t>Brak zmiany w stosunku do poprzedniego okresu sprawozdawczego.</w:t>
            </w:r>
          </w:p>
        </w:tc>
      </w:tr>
      <w:tr w:rsidR="00DD7BC6" w:rsidRPr="0099356B" w14:paraId="09E16119" w14:textId="77777777"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227370D" w14:textId="77777777" w:rsidR="00DD7BC6" w:rsidRPr="00266204" w:rsidRDefault="00DD7BC6" w:rsidP="00BF395F">
            <w:pPr>
              <w:spacing w:after="0" w:line="240" w:lineRule="auto"/>
              <w:rPr>
                <w:rFonts w:ascii="Arial" w:hAnsi="Arial" w:cs="Arial"/>
                <w:sz w:val="18"/>
                <w:szCs w:val="18"/>
                <w:highlight w:val="yellow"/>
              </w:rPr>
            </w:pPr>
            <w:r w:rsidRPr="00497203">
              <w:rPr>
                <w:rFonts w:ascii="Arial" w:hAnsi="Arial" w:cs="Arial"/>
                <w:sz w:val="18"/>
                <w:szCs w:val="18"/>
              </w:rPr>
              <w:t xml:space="preserve">Niskie wykorzystanie środków na wynagrodzenia pracowników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577DAD1" w14:textId="77777777" w:rsidR="00DD7BC6" w:rsidRPr="00266204" w:rsidRDefault="00DD7BC6" w:rsidP="00BF395F">
            <w:pPr>
              <w:pStyle w:val="Legenda"/>
              <w:rPr>
                <w:rFonts w:ascii="Arial" w:eastAsia="Times New Roman" w:hAnsi="Arial" w:cs="Arial"/>
                <w:b w:val="0"/>
                <w:sz w:val="18"/>
                <w:szCs w:val="18"/>
                <w:highlight w:val="yellow"/>
              </w:rPr>
            </w:pPr>
            <w:r w:rsidRPr="00497203">
              <w:rPr>
                <w:rFonts w:ascii="Arial" w:hAnsi="Arial"/>
                <w:b w:val="0"/>
                <w:sz w:val="18"/>
                <w:szCs w:val="18"/>
              </w:rPr>
              <w:t>niskie</w:t>
            </w:r>
            <w:r w:rsidRPr="00497203">
              <w:rPr>
                <w:rFonts w:ascii="Arial" w:eastAsia="Times New Roman" w:hAnsi="Arial" w:cs="Arial"/>
                <w:b w:val="0"/>
                <w:sz w:val="18"/>
                <w:szCs w:val="18"/>
              </w:rPr>
              <w:t xml:space="preserve"> </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14:paraId="42126FBF" w14:textId="77777777" w:rsidR="00DD7BC6" w:rsidRPr="00266204" w:rsidRDefault="00DD7BC6" w:rsidP="00BF395F">
            <w:pPr>
              <w:pStyle w:val="Tabelatresc"/>
              <w:spacing w:before="0" w:after="0" w:line="240" w:lineRule="auto"/>
              <w:jc w:val="left"/>
              <w:rPr>
                <w:rFonts w:ascii="Arial" w:hAnsi="Arial"/>
                <w:sz w:val="18"/>
                <w:szCs w:val="18"/>
                <w:highlight w:val="yellow"/>
              </w:rPr>
            </w:pPr>
            <w:r w:rsidRPr="00497203">
              <w:rPr>
                <w:rFonts w:ascii="Arial" w:hAnsi="Arial"/>
                <w:sz w:val="18"/>
                <w:szCs w:val="18"/>
              </w:rPr>
              <w:t>średnie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14:paraId="5855DAD6" w14:textId="77777777" w:rsidR="007A14AA" w:rsidRPr="00694AF5" w:rsidRDefault="007A14AA" w:rsidP="009F0F81">
            <w:pPr>
              <w:pStyle w:val="Legenda"/>
              <w:spacing w:after="240"/>
              <w:rPr>
                <w:rFonts w:ascii="Arial" w:hAnsi="Arial" w:cs="Arial"/>
                <w:b w:val="0"/>
                <w:color w:val="000000" w:themeColor="text1"/>
                <w:sz w:val="18"/>
                <w:szCs w:val="18"/>
              </w:rPr>
            </w:pPr>
            <w:r w:rsidRPr="00694AF5">
              <w:rPr>
                <w:rFonts w:ascii="Arial" w:hAnsi="Arial" w:cs="Arial"/>
                <w:b w:val="0"/>
                <w:color w:val="000000" w:themeColor="text1"/>
                <w:sz w:val="18"/>
                <w:szCs w:val="18"/>
              </w:rPr>
              <w:t xml:space="preserve">Podejmowanie </w:t>
            </w:r>
            <w:r w:rsidR="00840087" w:rsidRPr="00694AF5">
              <w:rPr>
                <w:rFonts w:ascii="Arial" w:hAnsi="Arial" w:cs="Arial"/>
                <w:b w:val="0"/>
                <w:color w:val="000000" w:themeColor="text1"/>
                <w:sz w:val="18"/>
                <w:szCs w:val="18"/>
              </w:rPr>
              <w:t xml:space="preserve">przez służby finansowe </w:t>
            </w:r>
            <w:r w:rsidRPr="00694AF5">
              <w:rPr>
                <w:rFonts w:ascii="Arial" w:hAnsi="Arial" w:cs="Arial"/>
                <w:b w:val="0"/>
                <w:color w:val="000000" w:themeColor="text1"/>
                <w:sz w:val="18"/>
                <w:szCs w:val="18"/>
              </w:rPr>
              <w:t>działań usprawniających wydatkowanie środków oraz zapewnienie konsolidacji wydatkowania środków w ramach prowadzonych projektów  z POPC.</w:t>
            </w:r>
          </w:p>
          <w:p w14:paraId="70B92585" w14:textId="77777777" w:rsidR="00DD7BC6" w:rsidRPr="00694AF5" w:rsidRDefault="00947567" w:rsidP="009F0F81">
            <w:pPr>
              <w:pStyle w:val="Legenda"/>
              <w:rPr>
                <w:rFonts w:ascii="Arial" w:hAnsi="Arial" w:cs="Arial"/>
                <w:b w:val="0"/>
                <w:color w:val="000000" w:themeColor="text1"/>
                <w:sz w:val="18"/>
                <w:szCs w:val="18"/>
                <w:highlight w:val="yellow"/>
              </w:rPr>
            </w:pPr>
            <w:r w:rsidRPr="00694AF5">
              <w:rPr>
                <w:rFonts w:ascii="Arial" w:hAnsi="Arial" w:cs="Arial"/>
                <w:b w:val="0"/>
                <w:color w:val="000000" w:themeColor="text1"/>
                <w:sz w:val="18"/>
                <w:szCs w:val="18"/>
              </w:rPr>
              <w:t>Brak zmiany w stosunku do poprzedniego okresu sprawozdawczego.</w:t>
            </w:r>
          </w:p>
        </w:tc>
      </w:tr>
      <w:tr w:rsidR="000C6125" w:rsidRPr="0099356B" w14:paraId="0965D655" w14:textId="77777777"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656A046" w14:textId="0638CA6F" w:rsidR="000C6125" w:rsidRPr="00266204" w:rsidDel="0005203C" w:rsidRDefault="000C6125" w:rsidP="00BF395F">
            <w:pPr>
              <w:spacing w:after="0" w:line="240" w:lineRule="auto"/>
              <w:rPr>
                <w:rFonts w:ascii="Arial" w:hAnsi="Arial" w:cs="Arial"/>
                <w:sz w:val="18"/>
                <w:szCs w:val="18"/>
                <w:highlight w:val="yellow"/>
              </w:rPr>
            </w:pPr>
            <w:r w:rsidRPr="00497203">
              <w:rPr>
                <w:rFonts w:ascii="Arial" w:hAnsi="Arial" w:cs="Arial"/>
                <w:sz w:val="18"/>
                <w:szCs w:val="18"/>
              </w:rPr>
              <w:t>Utrudnienia w pracy nad realizacją projektu związane z pandemią koronawirusa SARS-Cov-2 (utrudniona komunikacja, ograniczony dostęp d</w:t>
            </w:r>
            <w:r w:rsidR="00D71649" w:rsidRPr="00497203">
              <w:rPr>
                <w:rFonts w:ascii="Arial" w:hAnsi="Arial" w:cs="Arial"/>
                <w:sz w:val="18"/>
                <w:szCs w:val="18"/>
              </w:rPr>
              <w:t xml:space="preserve">o </w:t>
            </w:r>
            <w:r w:rsidRPr="00497203">
              <w:rPr>
                <w:rFonts w:ascii="Arial" w:hAnsi="Arial" w:cs="Arial"/>
                <w:sz w:val="18"/>
                <w:szCs w:val="18"/>
              </w:rPr>
              <w:t>dokumentacji w związku z przejściem na pracę zdalną)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44F6D00" w14:textId="77777777" w:rsidR="000C6125" w:rsidRPr="00266204" w:rsidDel="0005203C" w:rsidRDefault="00D71649" w:rsidP="00BF395F">
            <w:pPr>
              <w:pStyle w:val="Legenda"/>
              <w:rPr>
                <w:rFonts w:ascii="Arial" w:eastAsiaTheme="minorHAnsi" w:hAnsi="Arial" w:cs="Arial"/>
                <w:b w:val="0"/>
                <w:bCs w:val="0"/>
                <w:kern w:val="0"/>
                <w:sz w:val="18"/>
                <w:szCs w:val="18"/>
                <w:highlight w:val="yellow"/>
              </w:rPr>
            </w:pPr>
            <w:r w:rsidRPr="00497203">
              <w:rPr>
                <w:rFonts w:ascii="Arial" w:eastAsiaTheme="minorHAnsi" w:hAnsi="Arial" w:cs="Arial"/>
                <w:b w:val="0"/>
                <w:bCs w:val="0"/>
                <w:kern w:val="0"/>
                <w:sz w:val="18"/>
                <w:szCs w:val="18"/>
              </w:rPr>
              <w:t>średnia</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14:paraId="56159574" w14:textId="77777777" w:rsidR="000C6125" w:rsidRPr="00266204" w:rsidDel="0005203C" w:rsidRDefault="00D71649" w:rsidP="00BF395F">
            <w:pPr>
              <w:pStyle w:val="Tabelatresc"/>
              <w:spacing w:before="0" w:after="0" w:line="240" w:lineRule="auto"/>
              <w:jc w:val="left"/>
              <w:rPr>
                <w:rFonts w:ascii="Arial" w:eastAsiaTheme="minorHAnsi" w:hAnsi="Arial"/>
                <w:sz w:val="18"/>
                <w:szCs w:val="18"/>
                <w:highlight w:val="yellow"/>
                <w:lang w:eastAsia="en-US"/>
              </w:rPr>
            </w:pPr>
            <w:r w:rsidRPr="00497203">
              <w:rPr>
                <w:rFonts w:ascii="Arial" w:eastAsiaTheme="minorHAnsi" w:hAnsi="Arial"/>
                <w:sz w:val="18"/>
                <w:szCs w:val="18"/>
                <w:lang w:eastAsia="en-US"/>
              </w:rPr>
              <w:t>wysokie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14:paraId="15137808" w14:textId="77777777" w:rsidR="000C6125" w:rsidRPr="00497203" w:rsidRDefault="000C6125" w:rsidP="00BF395F">
            <w:pPr>
              <w:pStyle w:val="Legenda"/>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 xml:space="preserve">W celu ograniczenia ryzyka podjęto następujące działania: </w:t>
            </w:r>
          </w:p>
          <w:p w14:paraId="26F08C2C" w14:textId="77777777" w:rsidR="000C6125" w:rsidRPr="00497203" w:rsidRDefault="000C6125"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raportuje zadania, które ma do wykonania w danym tygodniu oraz zdaje sprawozdanie z realizacji poszczególnego zadania.</w:t>
            </w:r>
          </w:p>
          <w:p w14:paraId="753E2F79" w14:textId="77777777" w:rsidR="000C6125" w:rsidRPr="00497203" w:rsidRDefault="000C6125"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podstawową formą komunikacji w projekcie podczas pracy zdalnej jest droga e</w:t>
            </w:r>
            <w:r w:rsidR="009159EC" w:rsidRPr="00497203">
              <w:rPr>
                <w:rFonts w:ascii="Arial" w:eastAsiaTheme="minorHAnsi" w:hAnsi="Arial" w:cs="Arial"/>
                <w:b w:val="0"/>
                <w:bCs w:val="0"/>
                <w:kern w:val="0"/>
                <w:sz w:val="18"/>
                <w:szCs w:val="18"/>
              </w:rPr>
              <w:t xml:space="preserve"> </w:t>
            </w:r>
            <w:r w:rsidRPr="00497203">
              <w:rPr>
                <w:rFonts w:ascii="Arial" w:eastAsiaTheme="minorHAnsi" w:hAnsi="Arial" w:cs="Arial"/>
                <w:b w:val="0"/>
                <w:bCs w:val="0"/>
                <w:kern w:val="0"/>
                <w:sz w:val="18"/>
                <w:szCs w:val="18"/>
              </w:rPr>
              <w:t xml:space="preserve">mailowa. </w:t>
            </w:r>
          </w:p>
          <w:p w14:paraId="6DB03DB3" w14:textId="77777777" w:rsidR="00D71649" w:rsidRPr="00497203" w:rsidRDefault="000C6125"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sprawy kluczowe w projekcie omawiane s</w:t>
            </w:r>
            <w:r w:rsidR="009159EC" w:rsidRPr="00497203">
              <w:rPr>
                <w:rFonts w:ascii="Arial" w:eastAsiaTheme="minorHAnsi" w:hAnsi="Arial" w:cs="Arial"/>
                <w:b w:val="0"/>
                <w:bCs w:val="0"/>
                <w:kern w:val="0"/>
                <w:sz w:val="18"/>
                <w:szCs w:val="18"/>
              </w:rPr>
              <w:t>ą</w:t>
            </w:r>
            <w:r w:rsidRPr="00497203">
              <w:rPr>
                <w:rFonts w:ascii="Arial" w:eastAsiaTheme="minorHAnsi" w:hAnsi="Arial" w:cs="Arial"/>
                <w:b w:val="0"/>
                <w:bCs w:val="0"/>
                <w:kern w:val="0"/>
                <w:sz w:val="18"/>
                <w:szCs w:val="18"/>
              </w:rPr>
              <w:t xml:space="preserve"> podczas telekonferencji.</w:t>
            </w:r>
          </w:p>
          <w:p w14:paraId="1D3BE8E7" w14:textId="77777777" w:rsidR="009E3EC8" w:rsidRPr="00497203" w:rsidRDefault="00D71649" w:rsidP="00D71649">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k</w:t>
            </w:r>
            <w:r w:rsidR="000C6125" w:rsidRPr="00497203">
              <w:rPr>
                <w:rFonts w:ascii="Arial" w:eastAsiaTheme="minorHAnsi" w:hAnsi="Arial" w:cs="Arial"/>
                <w:b w:val="0"/>
                <w:bCs w:val="0"/>
                <w:kern w:val="0"/>
                <w:sz w:val="18"/>
                <w:szCs w:val="18"/>
              </w:rPr>
              <w:t>ierownik Projektu sprawuje nadzór nad realizacją zadań</w:t>
            </w:r>
          </w:p>
          <w:p w14:paraId="1E62968C" w14:textId="77777777" w:rsidR="009E3EC8" w:rsidRPr="00497203" w:rsidRDefault="009E3EC8" w:rsidP="009E3EC8">
            <w:pPr>
              <w:pStyle w:val="Legenda"/>
              <w:numPr>
                <w:ilvl w:val="0"/>
                <w:numId w:val="28"/>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 xml:space="preserve">personel projektu w przypadku konieczności przerywa pracę zdalną i z zachowaniem maksymalnej ochrony wykonuje </w:t>
            </w:r>
            <w:r w:rsidRPr="00497203">
              <w:rPr>
                <w:rFonts w:ascii="Arial" w:eastAsiaTheme="minorHAnsi" w:hAnsi="Arial" w:cs="Arial"/>
                <w:b w:val="0"/>
                <w:bCs w:val="0"/>
                <w:kern w:val="0"/>
                <w:sz w:val="18"/>
                <w:szCs w:val="18"/>
              </w:rPr>
              <w:lastRenderedPageBreak/>
              <w:t>pracę w budynku GUS</w:t>
            </w:r>
          </w:p>
          <w:p w14:paraId="47364E47" w14:textId="77777777" w:rsidR="000C6125" w:rsidRPr="00266204" w:rsidDel="0005203C" w:rsidRDefault="00947567" w:rsidP="000C6125">
            <w:pPr>
              <w:pStyle w:val="Legenda"/>
              <w:rPr>
                <w:highlight w:val="yellow"/>
              </w:rPr>
            </w:pPr>
            <w:r w:rsidRPr="00497203">
              <w:rPr>
                <w:rFonts w:ascii="Arial" w:hAnsi="Arial" w:cs="Arial"/>
                <w:b w:val="0"/>
                <w:color w:val="000000" w:themeColor="text1"/>
                <w:sz w:val="18"/>
                <w:szCs w:val="18"/>
              </w:rPr>
              <w:t>Brak zmiany w stosunku do poprzedniego okresu sprawozdawczego.</w:t>
            </w:r>
          </w:p>
        </w:tc>
      </w:tr>
    </w:tbl>
    <w:p w14:paraId="22DC3ADF" w14:textId="77777777"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lastRenderedPageBreak/>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14:paraId="2CCD58A1" w14:textId="77777777" w:rsidTr="003354A6">
        <w:trPr>
          <w:trHeight w:val="724"/>
        </w:trPr>
        <w:tc>
          <w:tcPr>
            <w:tcW w:w="2552" w:type="dxa"/>
            <w:shd w:val="clear" w:color="auto" w:fill="D9D9D9" w:themeFill="background1" w:themeFillShade="D9"/>
            <w:vAlign w:val="center"/>
          </w:tcPr>
          <w:p w14:paraId="75CB3521" w14:textId="77777777" w:rsidR="007E0B70" w:rsidRPr="003354A6" w:rsidRDefault="007E0B70" w:rsidP="006F0370">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14:paraId="0FC23511" w14:textId="77777777"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14:paraId="287A8D3E" w14:textId="77777777"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14:paraId="0089429E" w14:textId="77777777"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CC4191" w:rsidRPr="009F6D2F" w14:paraId="2DFF5687" w14:textId="77777777" w:rsidTr="00F35EFF">
        <w:trPr>
          <w:trHeight w:val="357"/>
        </w:trPr>
        <w:tc>
          <w:tcPr>
            <w:tcW w:w="2552" w:type="dxa"/>
            <w:shd w:val="clear" w:color="auto" w:fill="auto"/>
            <w:vAlign w:val="center"/>
          </w:tcPr>
          <w:p w14:paraId="5CCDD8ED" w14:textId="77777777" w:rsidR="00CC4191" w:rsidRPr="009F6D2F" w:rsidRDefault="00CC4191" w:rsidP="00F35EFF">
            <w:pPr>
              <w:spacing w:after="0"/>
              <w:rPr>
                <w:rFonts w:ascii="Arial" w:hAnsi="Arial" w:cs="Arial"/>
                <w:color w:val="000000" w:themeColor="text1"/>
                <w:sz w:val="18"/>
                <w:szCs w:val="18"/>
              </w:rPr>
            </w:pPr>
            <w:r w:rsidRPr="00497203">
              <w:rPr>
                <w:rFonts w:ascii="Arial" w:hAnsi="Arial" w:cs="Arial"/>
                <w:color w:val="000000" w:themeColor="text1"/>
                <w:sz w:val="18"/>
                <w:szCs w:val="18"/>
              </w:rPr>
              <w:t>Niespodziewane zmiany prawne.</w:t>
            </w:r>
          </w:p>
        </w:tc>
        <w:tc>
          <w:tcPr>
            <w:tcW w:w="1559" w:type="dxa"/>
            <w:shd w:val="clear" w:color="auto" w:fill="FFFFFF"/>
            <w:vAlign w:val="center"/>
          </w:tcPr>
          <w:p w14:paraId="6007E987" w14:textId="77777777"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vAlign w:val="center"/>
          </w:tcPr>
          <w:p w14:paraId="2A96D814" w14:textId="77777777"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vAlign w:val="center"/>
          </w:tcPr>
          <w:p w14:paraId="77EC50A7" w14:textId="77777777" w:rsidR="00CC4191" w:rsidRPr="00BE210D" w:rsidRDefault="00CC4191"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Wyznaczenie osób do stałego monitorowania projektów aktów prawnych.</w:t>
            </w:r>
            <w:r w:rsidR="005B3731" w:rsidRPr="00BE210D">
              <w:rPr>
                <w:rFonts w:ascii="Arial" w:hAnsi="Arial" w:cs="Arial"/>
                <w:color w:val="000000" w:themeColor="text1"/>
                <w:sz w:val="18"/>
                <w:szCs w:val="18"/>
              </w:rPr>
              <w:t xml:space="preserve"> </w:t>
            </w:r>
          </w:p>
          <w:p w14:paraId="3FDF0B42" w14:textId="77777777" w:rsidR="00877DC3" w:rsidRPr="00BE210D" w:rsidRDefault="00877DC3"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Podjęte działania pozwolą na sprawniejsze reagowanie na zachodzące zmiany prawne i dzięki temu na możliwość wprowadzenia koniecznych zmian w dokumentacji wytworzonej w ramach projektu.</w:t>
            </w:r>
          </w:p>
          <w:p w14:paraId="6ABFAEBA" w14:textId="77777777" w:rsidR="005638AE" w:rsidRPr="00BE210D" w:rsidRDefault="001D560C"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 ponownym oszacowaniu stwierdzono, że w dalszym ciągu istnieje niskie prawdopodobieństwo wystąpienia ryzyka.</w:t>
            </w:r>
          </w:p>
          <w:p w14:paraId="569F07E9" w14:textId="77777777" w:rsidR="001D560C" w:rsidRPr="009F6D2F" w:rsidRDefault="001D560C" w:rsidP="00BE210D">
            <w:pPr>
              <w:spacing w:after="0"/>
              <w:rPr>
                <w:rFonts w:ascii="Arial" w:hAnsi="Arial"/>
                <w:color w:val="000000" w:themeColor="text1"/>
                <w:sz w:val="18"/>
                <w:szCs w:val="18"/>
              </w:rPr>
            </w:pPr>
            <w:r w:rsidRPr="00BE210D">
              <w:rPr>
                <w:rFonts w:ascii="Arial" w:hAnsi="Arial" w:cs="Arial"/>
                <w:color w:val="000000" w:themeColor="text1"/>
                <w:sz w:val="18"/>
                <w:szCs w:val="18"/>
              </w:rPr>
              <w:t>Brak zmiany w stosunku do poprzedniego okresu sprawozdawczego.</w:t>
            </w:r>
          </w:p>
        </w:tc>
      </w:tr>
    </w:tbl>
    <w:p w14:paraId="37A74D90" w14:textId="77777777" w:rsidR="00C6727E" w:rsidRDefault="00C6727E" w:rsidP="00C6727E">
      <w:pPr>
        <w:pStyle w:val="Akapitzlist"/>
        <w:numPr>
          <w:ilvl w:val="0"/>
          <w:numId w:val="19"/>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14:paraId="285762F5" w14:textId="77777777"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14:paraId="3B7C1C15" w14:textId="77777777" w:rsidR="00E471E0" w:rsidRPr="000504BC" w:rsidRDefault="00BB059E" w:rsidP="00A86449">
      <w:pPr>
        <w:pStyle w:val="Akapitzlist"/>
        <w:numPr>
          <w:ilvl w:val="0"/>
          <w:numId w:val="19"/>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14:paraId="234E2B9F"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14:paraId="08EC2C03"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14:paraId="676119DF" w14:textId="77777777"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14:paraId="132A755A" w14:textId="77777777" w:rsidR="00E471E0" w:rsidRPr="000504BC" w:rsidRDefault="00E471E0" w:rsidP="00E471E0">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p w14:paraId="5EE4C267" w14:textId="77777777" w:rsidR="00E471E0" w:rsidRPr="00D90498" w:rsidRDefault="00E471E0" w:rsidP="00E471E0">
      <w:pPr>
        <w:pStyle w:val="Akapitzlist"/>
        <w:spacing w:before="360"/>
        <w:ind w:left="360"/>
        <w:jc w:val="both"/>
        <w:rPr>
          <w:rFonts w:ascii="Arial" w:hAnsi="Arial" w:cs="Arial"/>
          <w:color w:val="0070C0"/>
          <w:sz w:val="18"/>
          <w:szCs w:val="18"/>
          <w:lang w:val="en-US"/>
        </w:rPr>
      </w:pPr>
    </w:p>
    <w:p w14:paraId="0902D8EA" w14:textId="77777777" w:rsidR="00E471E0" w:rsidRPr="00D90498" w:rsidRDefault="00E471E0" w:rsidP="00E471E0">
      <w:pPr>
        <w:pStyle w:val="Akapitzlist"/>
        <w:spacing w:before="360"/>
        <w:ind w:left="360"/>
        <w:jc w:val="both"/>
        <w:rPr>
          <w:rFonts w:ascii="Arial" w:hAnsi="Arial" w:cs="Arial"/>
          <w:color w:val="0070C0"/>
          <w:sz w:val="18"/>
          <w:szCs w:val="18"/>
          <w:lang w:val="en-US"/>
        </w:rPr>
      </w:pPr>
    </w:p>
    <w:sectPr w:rsidR="00E471E0" w:rsidRPr="00D90498"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04A8DF" w16cid:durableId="2332D6A8"/>
  <w16cid:commentId w16cid:paraId="6B8B5BE1" w16cid:durableId="2332D6B1"/>
  <w16cid:commentId w16cid:paraId="1F580FC2" w16cid:durableId="2332D6A9"/>
  <w16cid:commentId w16cid:paraId="53335B57" w16cid:durableId="2332D6AA"/>
  <w16cid:commentId w16cid:paraId="785D7B75" w16cid:durableId="2332DC28"/>
  <w16cid:commentId w16cid:paraId="52760F67" w16cid:durableId="2332D6AB"/>
  <w16cid:commentId w16cid:paraId="01B6C0BF" w16cid:durableId="2332D6AC"/>
  <w16cid:commentId w16cid:paraId="44482434" w16cid:durableId="2332D6AD"/>
  <w16cid:commentId w16cid:paraId="6D3E86E8" w16cid:durableId="2332D73E"/>
  <w16cid:commentId w16cid:paraId="390B4AE3" w16cid:durableId="2332D821"/>
  <w16cid:commentId w16cid:paraId="7B198436" w16cid:durableId="2332D6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28401" w14:textId="77777777" w:rsidR="009E55EF" w:rsidRDefault="009E55EF" w:rsidP="00BB2420">
      <w:pPr>
        <w:spacing w:after="0" w:line="240" w:lineRule="auto"/>
      </w:pPr>
      <w:r>
        <w:separator/>
      </w:r>
    </w:p>
  </w:endnote>
  <w:endnote w:type="continuationSeparator" w:id="0">
    <w:p w14:paraId="0FCA3D68" w14:textId="77777777" w:rsidR="009E55EF" w:rsidRDefault="009E55E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474748C6" w14:textId="337FF50F"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510E5">
              <w:rPr>
                <w:b/>
                <w:bCs/>
                <w:noProof/>
              </w:rPr>
              <w:t>1</w:t>
            </w:r>
            <w:r>
              <w:rPr>
                <w:b/>
                <w:bCs/>
                <w:sz w:val="24"/>
                <w:szCs w:val="24"/>
              </w:rPr>
              <w:fldChar w:fldCharType="end"/>
            </w:r>
            <w:r>
              <w:t xml:space="preserve"> z </w:t>
            </w:r>
            <w:r w:rsidR="0099356B">
              <w:rPr>
                <w:b/>
                <w:bCs/>
                <w:noProof/>
              </w:rPr>
              <w:t>5</w:t>
            </w:r>
          </w:p>
        </w:sdtContent>
      </w:sdt>
    </w:sdtContent>
  </w:sdt>
  <w:p w14:paraId="14BFA06F"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8C108" w14:textId="77777777" w:rsidR="009E55EF" w:rsidRDefault="009E55EF" w:rsidP="00BB2420">
      <w:pPr>
        <w:spacing w:after="0" w:line="240" w:lineRule="auto"/>
      </w:pPr>
      <w:r>
        <w:separator/>
      </w:r>
    </w:p>
  </w:footnote>
  <w:footnote w:type="continuationSeparator" w:id="0">
    <w:p w14:paraId="4484A731" w14:textId="77777777" w:rsidR="009E55EF" w:rsidRDefault="009E55EF" w:rsidP="00BB2420">
      <w:pPr>
        <w:spacing w:after="0" w:line="240" w:lineRule="auto"/>
      </w:pPr>
      <w:r>
        <w:continuationSeparator/>
      </w:r>
    </w:p>
  </w:footnote>
  <w:footnote w:id="1">
    <w:p w14:paraId="27FCC45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773BAC"/>
    <w:multiLevelType w:val="hybridMultilevel"/>
    <w:tmpl w:val="C680D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ECA1137"/>
    <w:multiLevelType w:val="hybridMultilevel"/>
    <w:tmpl w:val="3D86B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355D73"/>
    <w:multiLevelType w:val="hybridMultilevel"/>
    <w:tmpl w:val="F574F384"/>
    <w:lvl w:ilvl="0" w:tplc="A1CA645E">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B05229"/>
    <w:multiLevelType w:val="hybridMultilevel"/>
    <w:tmpl w:val="5C8A6C5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6295FDC"/>
    <w:multiLevelType w:val="hybridMultilevel"/>
    <w:tmpl w:val="0EA4E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AD49D4"/>
    <w:multiLevelType w:val="hybridMultilevel"/>
    <w:tmpl w:val="67BC2956"/>
    <w:lvl w:ilvl="0" w:tplc="12189E4A">
      <w:start w:val="1"/>
      <w:numFmt w:val="decimal"/>
      <w:lvlText w:val="%1."/>
      <w:lvlJc w:val="left"/>
      <w:pPr>
        <w:ind w:left="720" w:hanging="360"/>
      </w:pPr>
      <w:rPr>
        <w:rFonts w:hint="default"/>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3B6736"/>
    <w:multiLevelType w:val="hybridMultilevel"/>
    <w:tmpl w:val="89FAAEE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1414C33"/>
    <w:multiLevelType w:val="hybridMultilevel"/>
    <w:tmpl w:val="525A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D64B44"/>
    <w:multiLevelType w:val="hybridMultilevel"/>
    <w:tmpl w:val="FBE2CCB8"/>
    <w:lvl w:ilvl="0" w:tplc="BB58B2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AB0005"/>
    <w:multiLevelType w:val="hybridMultilevel"/>
    <w:tmpl w:val="E1FAC51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754E0462"/>
    <w:multiLevelType w:val="hybridMultilevel"/>
    <w:tmpl w:val="96DE5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2"/>
  </w:num>
  <w:num w:numId="3">
    <w:abstractNumId w:val="31"/>
  </w:num>
  <w:num w:numId="4">
    <w:abstractNumId w:val="15"/>
  </w:num>
  <w:num w:numId="5">
    <w:abstractNumId w:val="26"/>
  </w:num>
  <w:num w:numId="6">
    <w:abstractNumId w:val="3"/>
  </w:num>
  <w:num w:numId="7">
    <w:abstractNumId w:val="21"/>
  </w:num>
  <w:num w:numId="8">
    <w:abstractNumId w:val="0"/>
  </w:num>
  <w:num w:numId="9">
    <w:abstractNumId w:val="7"/>
  </w:num>
  <w:num w:numId="10">
    <w:abstractNumId w:val="4"/>
  </w:num>
  <w:num w:numId="11">
    <w:abstractNumId w:val="6"/>
  </w:num>
  <w:num w:numId="12">
    <w:abstractNumId w:val="25"/>
  </w:num>
  <w:num w:numId="13">
    <w:abstractNumId w:val="20"/>
  </w:num>
  <w:num w:numId="14">
    <w:abstractNumId w:val="1"/>
  </w:num>
  <w:num w:numId="15">
    <w:abstractNumId w:val="28"/>
  </w:num>
  <w:num w:numId="16">
    <w:abstractNumId w:val="9"/>
  </w:num>
  <w:num w:numId="17">
    <w:abstractNumId w:val="18"/>
  </w:num>
  <w:num w:numId="18">
    <w:abstractNumId w:val="16"/>
  </w:num>
  <w:num w:numId="19">
    <w:abstractNumId w:val="12"/>
  </w:num>
  <w:num w:numId="20">
    <w:abstractNumId w:val="30"/>
  </w:num>
  <w:num w:numId="21">
    <w:abstractNumId w:val="24"/>
  </w:num>
  <w:num w:numId="22">
    <w:abstractNumId w:val="8"/>
  </w:num>
  <w:num w:numId="23">
    <w:abstractNumId w:val="27"/>
  </w:num>
  <w:num w:numId="24">
    <w:abstractNumId w:val="13"/>
  </w:num>
  <w:num w:numId="25">
    <w:abstractNumId w:val="22"/>
  </w:num>
  <w:num w:numId="26">
    <w:abstractNumId w:val="29"/>
  </w:num>
  <w:num w:numId="27">
    <w:abstractNumId w:val="17"/>
  </w:num>
  <w:num w:numId="28">
    <w:abstractNumId w:val="23"/>
  </w:num>
  <w:num w:numId="29">
    <w:abstractNumId w:val="11"/>
  </w:num>
  <w:num w:numId="30">
    <w:abstractNumId w:val="14"/>
  </w:num>
  <w:num w:numId="31">
    <w:abstractNumId w:val="5"/>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28EE"/>
    <w:rsid w:val="00012ECE"/>
    <w:rsid w:val="00020FA6"/>
    <w:rsid w:val="000377C0"/>
    <w:rsid w:val="00043DD9"/>
    <w:rsid w:val="00044D68"/>
    <w:rsid w:val="0004624A"/>
    <w:rsid w:val="00047D9D"/>
    <w:rsid w:val="000504BC"/>
    <w:rsid w:val="0005203C"/>
    <w:rsid w:val="000621B8"/>
    <w:rsid w:val="00070663"/>
    <w:rsid w:val="00080E19"/>
    <w:rsid w:val="00082418"/>
    <w:rsid w:val="00084E5B"/>
    <w:rsid w:val="00087231"/>
    <w:rsid w:val="00095944"/>
    <w:rsid w:val="000A1DFB"/>
    <w:rsid w:val="000A2F32"/>
    <w:rsid w:val="000A3938"/>
    <w:rsid w:val="000B3E49"/>
    <w:rsid w:val="000B4668"/>
    <w:rsid w:val="000C1B58"/>
    <w:rsid w:val="000C6125"/>
    <w:rsid w:val="000E0060"/>
    <w:rsid w:val="000E1828"/>
    <w:rsid w:val="000E4BF8"/>
    <w:rsid w:val="000E54A5"/>
    <w:rsid w:val="000F20A9"/>
    <w:rsid w:val="000F307B"/>
    <w:rsid w:val="000F30B9"/>
    <w:rsid w:val="001118D6"/>
    <w:rsid w:val="001152A5"/>
    <w:rsid w:val="0011693F"/>
    <w:rsid w:val="00122388"/>
    <w:rsid w:val="00124C3D"/>
    <w:rsid w:val="0013768D"/>
    <w:rsid w:val="00140757"/>
    <w:rsid w:val="00141A92"/>
    <w:rsid w:val="00145E84"/>
    <w:rsid w:val="0015102C"/>
    <w:rsid w:val="00152DAA"/>
    <w:rsid w:val="00176CC3"/>
    <w:rsid w:val="00176FBB"/>
    <w:rsid w:val="00180549"/>
    <w:rsid w:val="0018167C"/>
    <w:rsid w:val="00181E97"/>
    <w:rsid w:val="00182A08"/>
    <w:rsid w:val="001A1D1F"/>
    <w:rsid w:val="001A2E58"/>
    <w:rsid w:val="001A2EF2"/>
    <w:rsid w:val="001B378D"/>
    <w:rsid w:val="001B6C86"/>
    <w:rsid w:val="001B6E68"/>
    <w:rsid w:val="001C2D74"/>
    <w:rsid w:val="001C7FAC"/>
    <w:rsid w:val="001D2BE1"/>
    <w:rsid w:val="001D560C"/>
    <w:rsid w:val="001D5ED9"/>
    <w:rsid w:val="001E0CAC"/>
    <w:rsid w:val="001E16A3"/>
    <w:rsid w:val="001E1DEA"/>
    <w:rsid w:val="001E7199"/>
    <w:rsid w:val="001F24A0"/>
    <w:rsid w:val="001F67EC"/>
    <w:rsid w:val="0020019C"/>
    <w:rsid w:val="0020330A"/>
    <w:rsid w:val="002278C5"/>
    <w:rsid w:val="00237279"/>
    <w:rsid w:val="00240D69"/>
    <w:rsid w:val="002416BB"/>
    <w:rsid w:val="00241B5E"/>
    <w:rsid w:val="00243E39"/>
    <w:rsid w:val="0024715A"/>
    <w:rsid w:val="00252087"/>
    <w:rsid w:val="00256902"/>
    <w:rsid w:val="00266204"/>
    <w:rsid w:val="00276C00"/>
    <w:rsid w:val="00277283"/>
    <w:rsid w:val="002A3C02"/>
    <w:rsid w:val="002A5452"/>
    <w:rsid w:val="002B4889"/>
    <w:rsid w:val="002B50C0"/>
    <w:rsid w:val="002B6F21"/>
    <w:rsid w:val="002D105C"/>
    <w:rsid w:val="002D27B8"/>
    <w:rsid w:val="002D3D4A"/>
    <w:rsid w:val="002D7ADA"/>
    <w:rsid w:val="002E6AEA"/>
    <w:rsid w:val="002E6B7A"/>
    <w:rsid w:val="002F1336"/>
    <w:rsid w:val="0030196F"/>
    <w:rsid w:val="00302775"/>
    <w:rsid w:val="00304D04"/>
    <w:rsid w:val="00304F74"/>
    <w:rsid w:val="00310D8E"/>
    <w:rsid w:val="0031628D"/>
    <w:rsid w:val="003221F2"/>
    <w:rsid w:val="00322614"/>
    <w:rsid w:val="003331BD"/>
    <w:rsid w:val="00334A24"/>
    <w:rsid w:val="003354A6"/>
    <w:rsid w:val="003410FE"/>
    <w:rsid w:val="00341B37"/>
    <w:rsid w:val="00341D8E"/>
    <w:rsid w:val="00345E83"/>
    <w:rsid w:val="003508E7"/>
    <w:rsid w:val="003542F1"/>
    <w:rsid w:val="00356A3E"/>
    <w:rsid w:val="003642B8"/>
    <w:rsid w:val="0039352B"/>
    <w:rsid w:val="003A4115"/>
    <w:rsid w:val="003B5B7A"/>
    <w:rsid w:val="003C7325"/>
    <w:rsid w:val="003D1EF4"/>
    <w:rsid w:val="003D7DD0"/>
    <w:rsid w:val="003E3144"/>
    <w:rsid w:val="003F2822"/>
    <w:rsid w:val="00400EFC"/>
    <w:rsid w:val="00405EA4"/>
    <w:rsid w:val="0041034F"/>
    <w:rsid w:val="004118A3"/>
    <w:rsid w:val="00417E78"/>
    <w:rsid w:val="00423A26"/>
    <w:rsid w:val="00425046"/>
    <w:rsid w:val="004350B8"/>
    <w:rsid w:val="00444AAB"/>
    <w:rsid w:val="00446253"/>
    <w:rsid w:val="0044700E"/>
    <w:rsid w:val="00450089"/>
    <w:rsid w:val="00483AFD"/>
    <w:rsid w:val="00497203"/>
    <w:rsid w:val="004978AD"/>
    <w:rsid w:val="00497972"/>
    <w:rsid w:val="004B75B1"/>
    <w:rsid w:val="004C0749"/>
    <w:rsid w:val="004C1165"/>
    <w:rsid w:val="004C1D48"/>
    <w:rsid w:val="004C7EBF"/>
    <w:rsid w:val="004D144C"/>
    <w:rsid w:val="004D4B21"/>
    <w:rsid w:val="004D65CA"/>
    <w:rsid w:val="004F1429"/>
    <w:rsid w:val="004F6E89"/>
    <w:rsid w:val="005159FA"/>
    <w:rsid w:val="00517F12"/>
    <w:rsid w:val="0052102C"/>
    <w:rsid w:val="00524E6C"/>
    <w:rsid w:val="00527899"/>
    <w:rsid w:val="005332D6"/>
    <w:rsid w:val="00535673"/>
    <w:rsid w:val="005441B9"/>
    <w:rsid w:val="00544DFE"/>
    <w:rsid w:val="00546003"/>
    <w:rsid w:val="005466F0"/>
    <w:rsid w:val="00547C54"/>
    <w:rsid w:val="005620B0"/>
    <w:rsid w:val="005638AE"/>
    <w:rsid w:val="005734CE"/>
    <w:rsid w:val="00584317"/>
    <w:rsid w:val="00586664"/>
    <w:rsid w:val="00593290"/>
    <w:rsid w:val="005A12F7"/>
    <w:rsid w:val="005A1B30"/>
    <w:rsid w:val="005B1A32"/>
    <w:rsid w:val="005B3731"/>
    <w:rsid w:val="005B5FB4"/>
    <w:rsid w:val="005C0469"/>
    <w:rsid w:val="005C6116"/>
    <w:rsid w:val="005C77BB"/>
    <w:rsid w:val="005D17CF"/>
    <w:rsid w:val="005D5AAB"/>
    <w:rsid w:val="005D6E12"/>
    <w:rsid w:val="005E0ED8"/>
    <w:rsid w:val="005E6ABD"/>
    <w:rsid w:val="005F0FFD"/>
    <w:rsid w:val="005F233B"/>
    <w:rsid w:val="005F41FA"/>
    <w:rsid w:val="00600AE4"/>
    <w:rsid w:val="006054AA"/>
    <w:rsid w:val="00617F3D"/>
    <w:rsid w:val="0062054D"/>
    <w:rsid w:val="00630AD9"/>
    <w:rsid w:val="006334BF"/>
    <w:rsid w:val="00635A54"/>
    <w:rsid w:val="00661A62"/>
    <w:rsid w:val="006731D9"/>
    <w:rsid w:val="006822BC"/>
    <w:rsid w:val="00684A6D"/>
    <w:rsid w:val="00693F35"/>
    <w:rsid w:val="00694AF5"/>
    <w:rsid w:val="006A1686"/>
    <w:rsid w:val="006A60AA"/>
    <w:rsid w:val="006B034F"/>
    <w:rsid w:val="006B5117"/>
    <w:rsid w:val="006E0CFA"/>
    <w:rsid w:val="006E6205"/>
    <w:rsid w:val="006F07B7"/>
    <w:rsid w:val="006F5A3D"/>
    <w:rsid w:val="00701800"/>
    <w:rsid w:val="00703FEA"/>
    <w:rsid w:val="00725708"/>
    <w:rsid w:val="00733733"/>
    <w:rsid w:val="007347A2"/>
    <w:rsid w:val="00740A47"/>
    <w:rsid w:val="00746ABD"/>
    <w:rsid w:val="0076270D"/>
    <w:rsid w:val="0077418F"/>
    <w:rsid w:val="00775C44"/>
    <w:rsid w:val="007860CF"/>
    <w:rsid w:val="00787BB7"/>
    <w:rsid w:val="007924CE"/>
    <w:rsid w:val="00795AFA"/>
    <w:rsid w:val="007A14AA"/>
    <w:rsid w:val="007A3F2B"/>
    <w:rsid w:val="007A4742"/>
    <w:rsid w:val="007B0251"/>
    <w:rsid w:val="007B07EE"/>
    <w:rsid w:val="007C2F7E"/>
    <w:rsid w:val="007C6235"/>
    <w:rsid w:val="007D1990"/>
    <w:rsid w:val="007D1DD9"/>
    <w:rsid w:val="007D2C34"/>
    <w:rsid w:val="007D38BD"/>
    <w:rsid w:val="007D3F21"/>
    <w:rsid w:val="007D7B48"/>
    <w:rsid w:val="007E08BA"/>
    <w:rsid w:val="007E0B70"/>
    <w:rsid w:val="007E341A"/>
    <w:rsid w:val="007F0FB2"/>
    <w:rsid w:val="007F126F"/>
    <w:rsid w:val="007F76B3"/>
    <w:rsid w:val="00806134"/>
    <w:rsid w:val="00811E3F"/>
    <w:rsid w:val="00815CAB"/>
    <w:rsid w:val="00830B70"/>
    <w:rsid w:val="00840087"/>
    <w:rsid w:val="00840749"/>
    <w:rsid w:val="00845BEF"/>
    <w:rsid w:val="0087452F"/>
    <w:rsid w:val="00875528"/>
    <w:rsid w:val="00877DC3"/>
    <w:rsid w:val="00884686"/>
    <w:rsid w:val="00886D60"/>
    <w:rsid w:val="00886E91"/>
    <w:rsid w:val="008A332F"/>
    <w:rsid w:val="008A52F6"/>
    <w:rsid w:val="008C4BCD"/>
    <w:rsid w:val="008C6721"/>
    <w:rsid w:val="008D3826"/>
    <w:rsid w:val="008D59F9"/>
    <w:rsid w:val="008E4451"/>
    <w:rsid w:val="008F2D9B"/>
    <w:rsid w:val="008F6D12"/>
    <w:rsid w:val="00907F6D"/>
    <w:rsid w:val="00911190"/>
    <w:rsid w:val="009121C7"/>
    <w:rsid w:val="0091332C"/>
    <w:rsid w:val="00913C6A"/>
    <w:rsid w:val="009159EC"/>
    <w:rsid w:val="009256F2"/>
    <w:rsid w:val="00931D30"/>
    <w:rsid w:val="00933BEC"/>
    <w:rsid w:val="00935A3E"/>
    <w:rsid w:val="00936729"/>
    <w:rsid w:val="00941E3D"/>
    <w:rsid w:val="00946687"/>
    <w:rsid w:val="00947567"/>
    <w:rsid w:val="0095183B"/>
    <w:rsid w:val="00951AD9"/>
    <w:rsid w:val="00952126"/>
    <w:rsid w:val="00952617"/>
    <w:rsid w:val="009663A6"/>
    <w:rsid w:val="00971A40"/>
    <w:rsid w:val="00976434"/>
    <w:rsid w:val="00980AD5"/>
    <w:rsid w:val="00982F11"/>
    <w:rsid w:val="00992EA3"/>
    <w:rsid w:val="0099356B"/>
    <w:rsid w:val="00994174"/>
    <w:rsid w:val="009967CA"/>
    <w:rsid w:val="0099715F"/>
    <w:rsid w:val="00997C78"/>
    <w:rsid w:val="009A17FF"/>
    <w:rsid w:val="009A1885"/>
    <w:rsid w:val="009B4423"/>
    <w:rsid w:val="009C3F7B"/>
    <w:rsid w:val="009C6140"/>
    <w:rsid w:val="009D2FA4"/>
    <w:rsid w:val="009D3BB7"/>
    <w:rsid w:val="009D7D8A"/>
    <w:rsid w:val="009E3EC8"/>
    <w:rsid w:val="009E4C67"/>
    <w:rsid w:val="009E55EF"/>
    <w:rsid w:val="009E7721"/>
    <w:rsid w:val="009F09BF"/>
    <w:rsid w:val="009F0F81"/>
    <w:rsid w:val="009F1DC8"/>
    <w:rsid w:val="009F3C7F"/>
    <w:rsid w:val="009F437E"/>
    <w:rsid w:val="009F6D2F"/>
    <w:rsid w:val="00A025C7"/>
    <w:rsid w:val="00A1150E"/>
    <w:rsid w:val="00A11788"/>
    <w:rsid w:val="00A122D2"/>
    <w:rsid w:val="00A30847"/>
    <w:rsid w:val="00A36AE2"/>
    <w:rsid w:val="00A36D4E"/>
    <w:rsid w:val="00A43E49"/>
    <w:rsid w:val="00A44EA2"/>
    <w:rsid w:val="00A47B12"/>
    <w:rsid w:val="00A54ED3"/>
    <w:rsid w:val="00A56D63"/>
    <w:rsid w:val="00A5762F"/>
    <w:rsid w:val="00A67685"/>
    <w:rsid w:val="00A67936"/>
    <w:rsid w:val="00A728AE"/>
    <w:rsid w:val="00A7510B"/>
    <w:rsid w:val="00A804AE"/>
    <w:rsid w:val="00A81F0F"/>
    <w:rsid w:val="00A86449"/>
    <w:rsid w:val="00A87C1C"/>
    <w:rsid w:val="00AA4CAB"/>
    <w:rsid w:val="00AA51AD"/>
    <w:rsid w:val="00AB2E01"/>
    <w:rsid w:val="00AB6586"/>
    <w:rsid w:val="00AC47A3"/>
    <w:rsid w:val="00AC4F16"/>
    <w:rsid w:val="00AC7E26"/>
    <w:rsid w:val="00AD45BB"/>
    <w:rsid w:val="00AE1643"/>
    <w:rsid w:val="00AE3A6C"/>
    <w:rsid w:val="00AE5462"/>
    <w:rsid w:val="00AF09B8"/>
    <w:rsid w:val="00AF567D"/>
    <w:rsid w:val="00B17709"/>
    <w:rsid w:val="00B41415"/>
    <w:rsid w:val="00B440C3"/>
    <w:rsid w:val="00B50560"/>
    <w:rsid w:val="00B510E5"/>
    <w:rsid w:val="00B53AC4"/>
    <w:rsid w:val="00B6031C"/>
    <w:rsid w:val="00B61CD3"/>
    <w:rsid w:val="00B64B3C"/>
    <w:rsid w:val="00B673C6"/>
    <w:rsid w:val="00B714A8"/>
    <w:rsid w:val="00B74859"/>
    <w:rsid w:val="00B768C5"/>
    <w:rsid w:val="00B769B2"/>
    <w:rsid w:val="00B87D3D"/>
    <w:rsid w:val="00B93335"/>
    <w:rsid w:val="00BA481C"/>
    <w:rsid w:val="00BB059E"/>
    <w:rsid w:val="00BB2420"/>
    <w:rsid w:val="00BB5ACE"/>
    <w:rsid w:val="00BC1003"/>
    <w:rsid w:val="00BC1BD2"/>
    <w:rsid w:val="00BC239C"/>
    <w:rsid w:val="00BC6BE4"/>
    <w:rsid w:val="00BE210D"/>
    <w:rsid w:val="00BE47CD"/>
    <w:rsid w:val="00BE5BF9"/>
    <w:rsid w:val="00BF0101"/>
    <w:rsid w:val="00BF157C"/>
    <w:rsid w:val="00BF395F"/>
    <w:rsid w:val="00C1106C"/>
    <w:rsid w:val="00C11F6C"/>
    <w:rsid w:val="00C12016"/>
    <w:rsid w:val="00C17D37"/>
    <w:rsid w:val="00C20ED2"/>
    <w:rsid w:val="00C26361"/>
    <w:rsid w:val="00C302F1"/>
    <w:rsid w:val="00C40B62"/>
    <w:rsid w:val="00C42AEA"/>
    <w:rsid w:val="00C43662"/>
    <w:rsid w:val="00C57985"/>
    <w:rsid w:val="00C6727E"/>
    <w:rsid w:val="00C6751B"/>
    <w:rsid w:val="00C676E7"/>
    <w:rsid w:val="00C85965"/>
    <w:rsid w:val="00C87389"/>
    <w:rsid w:val="00C97509"/>
    <w:rsid w:val="00CA516B"/>
    <w:rsid w:val="00CC18D3"/>
    <w:rsid w:val="00CC3075"/>
    <w:rsid w:val="00CC4191"/>
    <w:rsid w:val="00CC7E21"/>
    <w:rsid w:val="00CD3412"/>
    <w:rsid w:val="00CD7E4C"/>
    <w:rsid w:val="00CE5DEA"/>
    <w:rsid w:val="00CE74F9"/>
    <w:rsid w:val="00CE7777"/>
    <w:rsid w:val="00CF2E64"/>
    <w:rsid w:val="00CF4BEC"/>
    <w:rsid w:val="00CF6DC5"/>
    <w:rsid w:val="00D04A37"/>
    <w:rsid w:val="00D063C9"/>
    <w:rsid w:val="00D108F8"/>
    <w:rsid w:val="00D25451"/>
    <w:rsid w:val="00D25CFE"/>
    <w:rsid w:val="00D32657"/>
    <w:rsid w:val="00D33AE2"/>
    <w:rsid w:val="00D366CD"/>
    <w:rsid w:val="00D40C11"/>
    <w:rsid w:val="00D4607F"/>
    <w:rsid w:val="00D57025"/>
    <w:rsid w:val="00D57765"/>
    <w:rsid w:val="00D71649"/>
    <w:rsid w:val="00D77F42"/>
    <w:rsid w:val="00D77F50"/>
    <w:rsid w:val="00D84E84"/>
    <w:rsid w:val="00D859F4"/>
    <w:rsid w:val="00D85A52"/>
    <w:rsid w:val="00D86FEC"/>
    <w:rsid w:val="00D90498"/>
    <w:rsid w:val="00D93F9C"/>
    <w:rsid w:val="00D9698B"/>
    <w:rsid w:val="00DA34DF"/>
    <w:rsid w:val="00DB69FD"/>
    <w:rsid w:val="00DB7196"/>
    <w:rsid w:val="00DC0A8A"/>
    <w:rsid w:val="00DC1705"/>
    <w:rsid w:val="00DC39A9"/>
    <w:rsid w:val="00DC4C79"/>
    <w:rsid w:val="00DD7380"/>
    <w:rsid w:val="00DD7BC6"/>
    <w:rsid w:val="00DE37F4"/>
    <w:rsid w:val="00DE439A"/>
    <w:rsid w:val="00DE5227"/>
    <w:rsid w:val="00DE6249"/>
    <w:rsid w:val="00DE731D"/>
    <w:rsid w:val="00E0076D"/>
    <w:rsid w:val="00E11B44"/>
    <w:rsid w:val="00E15DEB"/>
    <w:rsid w:val="00E1688D"/>
    <w:rsid w:val="00E203EB"/>
    <w:rsid w:val="00E2331D"/>
    <w:rsid w:val="00E35401"/>
    <w:rsid w:val="00E375DB"/>
    <w:rsid w:val="00E424BD"/>
    <w:rsid w:val="00E42938"/>
    <w:rsid w:val="00E471E0"/>
    <w:rsid w:val="00E47508"/>
    <w:rsid w:val="00E55EB0"/>
    <w:rsid w:val="00E57BB7"/>
    <w:rsid w:val="00E61694"/>
    <w:rsid w:val="00E61CB0"/>
    <w:rsid w:val="00E65143"/>
    <w:rsid w:val="00E71256"/>
    <w:rsid w:val="00E71BCF"/>
    <w:rsid w:val="00E740EB"/>
    <w:rsid w:val="00E81D7C"/>
    <w:rsid w:val="00E82E20"/>
    <w:rsid w:val="00E83FA4"/>
    <w:rsid w:val="00E86020"/>
    <w:rsid w:val="00EA0B4F"/>
    <w:rsid w:val="00EB5A7C"/>
    <w:rsid w:val="00EC2AFC"/>
    <w:rsid w:val="00EC7948"/>
    <w:rsid w:val="00EE15F0"/>
    <w:rsid w:val="00EE1B1E"/>
    <w:rsid w:val="00F00AA2"/>
    <w:rsid w:val="00F03468"/>
    <w:rsid w:val="00F03EE3"/>
    <w:rsid w:val="00F11C39"/>
    <w:rsid w:val="00F138F7"/>
    <w:rsid w:val="00F13B41"/>
    <w:rsid w:val="00F14AA9"/>
    <w:rsid w:val="00F17E51"/>
    <w:rsid w:val="00F2008A"/>
    <w:rsid w:val="00F21D9E"/>
    <w:rsid w:val="00F25348"/>
    <w:rsid w:val="00F35EFF"/>
    <w:rsid w:val="00F375CC"/>
    <w:rsid w:val="00F45506"/>
    <w:rsid w:val="00F54034"/>
    <w:rsid w:val="00F60062"/>
    <w:rsid w:val="00F613CC"/>
    <w:rsid w:val="00F62B6A"/>
    <w:rsid w:val="00F76777"/>
    <w:rsid w:val="00F83F2F"/>
    <w:rsid w:val="00F851CA"/>
    <w:rsid w:val="00F8608C"/>
    <w:rsid w:val="00F86555"/>
    <w:rsid w:val="00FB0BB2"/>
    <w:rsid w:val="00FC3B03"/>
    <w:rsid w:val="00FD4271"/>
    <w:rsid w:val="00FE6C4B"/>
    <w:rsid w:val="00FF02E2"/>
    <w:rsid w:val="00FF03A2"/>
    <w:rsid w:val="00FF22C4"/>
    <w:rsid w:val="00FF43BE"/>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348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azwaPliku xmlns="8C029B3F-2CC4-4A59-AF0D-A90575FA3373">Raport za III kwartał 2020.docx</NazwaPliku>
    <Odbiorcy2 xmlns="8C029B3F-2CC4-4A59-AF0D-A90575FA3373" xsi:nil="true"/>
    <Osoba xmlns="8C029B3F-2CC4-4A59-AF0D-A90575FA3373">STAT\CzarneckaK</Osoba>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38095-CD79-4D77-BD52-E07DB9014A06}">
  <ds:schemaRefs>
    <ds:schemaRef ds:uri="http://schemas.microsoft.com/office/2006/metadata/properties"/>
    <ds:schemaRef ds:uri="http://schemas.microsoft.com/office/infopath/2007/PartnerControls"/>
    <ds:schemaRef ds:uri="8C029B3F-2CC4-4A59-AF0D-A90575FA3373"/>
    <ds:schemaRef ds:uri="http://schemas.microsoft.com/sharepoint/v3"/>
  </ds:schemaRefs>
</ds:datastoreItem>
</file>

<file path=customXml/itemProps2.xml><?xml version="1.0" encoding="utf-8"?>
<ds:datastoreItem xmlns:ds="http://schemas.openxmlformats.org/officeDocument/2006/customXml" ds:itemID="{176D1DFF-999A-4E4B-95F7-A56E578D5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9EE5BF-D4AA-42E1-9200-7858DD434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1274</Words>
  <Characters>7650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2020-10-28T12:56:00Z</dcterms:created>
  <dcterms:modified xsi:type="dcterms:W3CDTF">2020-10-28T12:56:00Z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0x0101005F253E89B8992844AAE9836E71E202A8</vt:lpwstr>
  </property>
</Properties>
</file>